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E3A5F"/>
          <w:sz w:val="44"/>
          <w:szCs w:val="44"/>
        </w:rPr>
        <w:t xml:space="preserve">Archway Insights &amp; Reporting Platform</w:t>
      </w:r>
    </w:p>
    <w:p>
      <w:pPr>
        <w:spacing w:after="40"/>
      </w:pPr>
      <w:r>
        <w:rPr>
          <w:color w:val="6B7280"/>
          <w:sz w:val="30"/>
          <w:szCs w:val="30"/>
        </w:rPr>
        <w:t xml:space="preserve">Feature Specifications</w:t>
      </w:r>
    </w:p>
    <w:p>
      <w:pPr>
        <w:spacing w:after="400"/>
      </w:pPr>
      <w:r>
        <w:rPr>
          <w:i/>
          <w:iCs/>
          <w:color w:val="6B7280"/>
        </w:rPr>
        <w:t xml:space="preserve">Functional and technical specification for every major feature in the Reports, Insights, Builder, and Dashboards surfaces.</w:t>
      </w:r>
    </w:p>
    <w:p>
      <w:r>
        <w:br w:type="page"/>
      </w:r>
    </w:p>
    <w:p>
      <w:pPr>
        <w:pStyle w:val="Heading1"/>
        <w:spacing w:after="160" w:before="400"/>
      </w:pPr>
      <w:r>
        <w:t xml:space="preserve">1. Reports &amp; Insights Home</w:t>
      </w:r>
    </w:p>
    <w:p>
      <w:pPr>
        <w:spacing w:after="120"/>
      </w:pPr>
      <w:r>
        <w:rPr>
          <w:i/>
          <w:iCs/>
          <w:color w:val="6B7280"/>
        </w:rPr>
        <w:t xml:space="preserve">The landing page for the reporting product: ask a question, jump into the builder, or resume recent and saved work.</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Give users a single entry point that surfaces the fastest path to an answer (ask a question), the fastest path to a new report (builder), and the fastest path back to existing work (recommended / frequent / saved reports).</w:t>
      </w:r>
    </w:p>
    <w:p>
      <w:pPr>
        <w:pStyle w:val="Heading3"/>
        <w:spacing w:after="80" w:before="200"/>
      </w:pPr>
      <w:r>
        <w:t xml:space="preserve">Primary users</w:t>
      </w:r>
    </w:p>
    <w:p>
      <w:pPr>
        <w:pStyle w:val="ListParagraph"/>
        <w:numPr>
          <w:ilvl w:val="0"/>
          <w:numId w:val="1"/>
        </w:numPr>
        <w:spacing w:after="60"/>
      </w:pPr>
      <w:r>
        <w:t xml:space="preserve">Finance &amp; operations analysts</w:t>
      </w:r>
    </w:p>
    <w:p>
      <w:pPr>
        <w:pStyle w:val="ListParagraph"/>
        <w:numPr>
          <w:ilvl w:val="0"/>
          <w:numId w:val="1"/>
        </w:numPr>
        <w:spacing w:after="60"/>
      </w:pPr>
      <w:r>
        <w:t xml:space="preserve">Portfolio and relationship managers</w:t>
      </w:r>
    </w:p>
    <w:p>
      <w:pPr>
        <w:pStyle w:val="ListParagraph"/>
        <w:numPr>
          <w:ilvl w:val="0"/>
          <w:numId w:val="1"/>
        </w:numPr>
        <w:spacing w:after="60"/>
      </w:pPr>
      <w:r>
        <w:t xml:space="preserve">Executives checking saved reports</w:t>
      </w:r>
    </w:p>
    <w:p>
      <w:pPr>
        <w:pStyle w:val="Heading3"/>
        <w:spacing w:after="80" w:before="200"/>
      </w:pPr>
      <w:r>
        <w:t xml:space="preserve">User flow</w:t>
      </w:r>
    </w:p>
    <w:p>
      <w:pPr>
        <w:pStyle w:val="ListParagraph"/>
        <w:numPr>
          <w:ilvl w:val="0"/>
          <w:numId w:val="1"/>
        </w:numPr>
        <w:spacing w:after="60"/>
      </w:pPr>
      <w:r>
        <w:t xml:space="preserve">1. User lands on /, sees the "Build a report" call-to-action, the natural-language search box, and three lists of reports.</w:t>
      </w:r>
    </w:p>
    <w:p>
      <w:pPr>
        <w:pStyle w:val="ListParagraph"/>
        <w:numPr>
          <w:ilvl w:val="0"/>
          <w:numId w:val="1"/>
        </w:numPr>
        <w:spacing w:after="60"/>
      </w:pPr>
      <w:r>
        <w:t xml:space="preserve">2. User either types a question into the search box, clicks "Build a report" to start from a blank canvas, or clicks a report card to open it.</w:t>
      </w:r>
    </w:p>
    <w:p>
      <w:pPr>
        <w:pStyle w:val="ListParagraph"/>
        <w:numPr>
          <w:ilvl w:val="0"/>
          <w:numId w:val="1"/>
        </w:numPr>
        <w:spacing w:after="60"/>
      </w:pPr>
      <w:r>
        <w:t xml:space="preserve">3. Clicking a recommended/frequent report navigates to the Report Library or directly runs the report; clicking a saved report opens it in the viewer or builder.</w:t>
      </w:r>
    </w:p>
    <w:p>
      <w:pPr>
        <w:pStyle w:val="Heading3"/>
        <w:spacing w:after="80" w:before="200"/>
      </w:pPr>
      <w:r>
        <w:t xml:space="preserve">Functional requirements</w:t>
      </w:r>
    </w:p>
    <w:p>
      <w:pPr>
        <w:pStyle w:val="ListParagraph"/>
        <w:numPr>
          <w:ilvl w:val="0"/>
          <w:numId w:val="1"/>
        </w:numPr>
        <w:spacing w:after="60"/>
      </w:pPr>
      <w:r>
        <w:t xml:space="preserve">Render four zones: builder call-to-action, natural-language search, recommended reports, and a two-column layout of frequently-run vs. saved reports.</w:t>
      </w:r>
    </w:p>
    <w:p>
      <w:pPr>
        <w:pStyle w:val="ListParagraph"/>
        <w:numPr>
          <w:ilvl w:val="0"/>
          <w:numId w:val="1"/>
        </w:numPr>
        <w:spacing w:after="60"/>
      </w:pPr>
      <w:r>
        <w:t xml:space="preserve">Recommended/frequent/saved lists are hidden from print output (print:hidden) so a printed page only shows the content, not navigation chrome.</w:t>
      </w:r>
    </w:p>
    <w:p>
      <w:pPr>
        <w:pStyle w:val="ListParagraph"/>
        <w:numPr>
          <w:ilvl w:val="0"/>
          <w:numId w:val="1"/>
        </w:numPr>
        <w:spacing w:after="60"/>
      </w:pPr>
      <w:r>
        <w:t xml:space="preserve">Page metadata (breadcrumb) reads "Reports &amp; Insights / Archway Insights".</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Route</w:t>
            </w:r>
          </w:p>
        </w:tc>
        <w:tc>
          <w:tcPr>
            <w:tcW w:type="pct" w:w="3600"/>
            <w:tcMar>
              <w:top w:type="dxa" w:w="80"/>
              <w:left w:type="dxa" w:w="120"/>
              <w:bottom w:type="dxa" w:w="80"/>
              <w:right w:type="dxa" w:w="120"/>
            </w:tcMar>
          </w:tcPr>
          <w:p>
            <w:r>
              <w:t xml:space="preserve">/ (app/page.tsx)</w:t>
            </w:r>
          </w:p>
        </w:tc>
      </w:tr>
      <w:tr>
        <w:tc>
          <w:tcPr>
            <w:tcW w:type="pct" w:w="1400"/>
            <w:tcMar>
              <w:top w:type="dxa" w:w="80"/>
              <w:left w:type="dxa" w:w="120"/>
              <w:bottom w:type="dxa" w:w="80"/>
              <w:right w:type="dxa" w:w="120"/>
            </w:tcMar>
          </w:tcPr>
          <w:p>
            <w:r>
              <w:rPr>
                <w:b/>
                <w:bCs/>
              </w:rPr>
              <w:t xml:space="preserve">Rendering</w:t>
            </w:r>
          </w:p>
        </w:tc>
        <w:tc>
          <w:tcPr>
            <w:tcW w:type="pct" w:w="3600"/>
            <w:tcMar>
              <w:top w:type="dxa" w:w="80"/>
              <w:left w:type="dxa" w:w="120"/>
              <w:bottom w:type="dxa" w:w="80"/>
              <w:right w:type="dxa" w:w="120"/>
            </w:tcMar>
          </w:tcPr>
          <w:p>
            <w:r>
              <w:t xml:space="preserve">Server Component (static shell) + client islands for search/lists</w:t>
            </w:r>
          </w:p>
        </w:tc>
      </w:tr>
      <w:tr>
        <w:tc>
          <w:tcPr>
            <w:tcW w:type="pct" w:w="1400"/>
            <w:tcMar>
              <w:top w:type="dxa" w:w="80"/>
              <w:left w:type="dxa" w:w="120"/>
              <w:bottom w:type="dxa" w:w="80"/>
              <w:right w:type="dxa" w:w="120"/>
            </w:tcMar>
          </w:tcPr>
          <w:p>
            <w:r>
              <w:rPr>
                <w:b/>
                <w:bCs/>
              </w:rPr>
              <w:t xml:space="preserve">Layout</w:t>
            </w:r>
          </w:p>
        </w:tc>
        <w:tc>
          <w:tcPr>
            <w:tcW w:type="pct" w:w="3600"/>
            <w:tcMar>
              <w:top w:type="dxa" w:w="80"/>
              <w:left w:type="dxa" w:w="120"/>
              <w:bottom w:type="dxa" w:w="80"/>
              <w:right w:type="dxa" w:w="120"/>
            </w:tcMar>
          </w:tcPr>
          <w:p>
            <w:r>
              <w:t xml:space="preserve">AppShell with breadcrumb</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app/page.tsx</w:t>
      </w:r>
    </w:p>
    <w:p>
      <w:pPr>
        <w:spacing w:after="80"/>
      </w:pPr>
      <w:r>
        <w:rPr>
          <w:rFonts w:ascii="Courier New" w:cs="Courier New" w:eastAsia="Courier New" w:hAnsi="Courier New"/>
          <w:color w:val="6B7280"/>
          <w:sz w:val="20"/>
          <w:szCs w:val="20"/>
        </w:rPr>
        <w:t xml:space="preserve">components/insights/insights-search.tsx</w:t>
      </w:r>
    </w:p>
    <w:p>
      <w:pPr>
        <w:spacing w:after="80"/>
      </w:pPr>
      <w:r>
        <w:rPr>
          <w:rFonts w:ascii="Courier New" w:cs="Courier New" w:eastAsia="Courier New" w:hAnsi="Courier New"/>
          <w:color w:val="6B7280"/>
          <w:sz w:val="20"/>
          <w:szCs w:val="20"/>
        </w:rPr>
        <w:t xml:space="preserve">components/insights/builder-cta.tsx</w:t>
      </w:r>
    </w:p>
    <w:p>
      <w:pPr>
        <w:spacing w:after="80"/>
      </w:pPr>
      <w:r>
        <w:rPr>
          <w:rFonts w:ascii="Courier New" w:cs="Courier New" w:eastAsia="Courier New" w:hAnsi="Courier New"/>
          <w:color w:val="6B7280"/>
          <w:sz w:val="20"/>
          <w:szCs w:val="20"/>
        </w:rPr>
        <w:t xml:space="preserve">components/insights/recommended-reports.tsx</w:t>
      </w:r>
    </w:p>
    <w:p>
      <w:pPr>
        <w:spacing w:after="80"/>
      </w:pPr>
      <w:r>
        <w:rPr>
          <w:rFonts w:ascii="Courier New" w:cs="Courier New" w:eastAsia="Courier New" w:hAnsi="Courier New"/>
          <w:color w:val="6B7280"/>
          <w:sz w:val="20"/>
          <w:szCs w:val="20"/>
        </w:rPr>
        <w:t xml:space="preserve">components/insights/report-lists.tsx (FrequentlyRunReports, SavedReports)</w:t>
      </w:r>
    </w:p>
    <w:p>
      <w:pPr>
        <w:spacing w:after="80"/>
      </w:pPr>
      <w:r>
        <w:rPr>
          <w:rFonts w:ascii="Courier New" w:cs="Courier New" w:eastAsia="Courier New" w:hAnsi="Courier New"/>
          <w:color w:val="6B7280"/>
          <w:sz w:val="20"/>
          <w:szCs w:val="20"/>
        </w:rPr>
        <w:t xml:space="preserve">components/dashboard/app-shell.tsx</w:t>
      </w:r>
    </w:p>
    <w:p>
      <w:pPr>
        <w:pStyle w:val="Heading3"/>
        <w:spacing w:after="80" w:before="200"/>
      </w:pPr>
      <w:r>
        <w:t xml:space="preserve">Implementation notes</w:t>
      </w:r>
    </w:p>
    <w:p>
      <w:pPr>
        <w:pStyle w:val="ListParagraph"/>
        <w:numPr>
          <w:ilvl w:val="0"/>
          <w:numId w:val="1"/>
        </w:numPr>
        <w:spacing w:after="60"/>
      </w:pPr>
      <w:r>
        <w:t xml:space="preserve">This page composes four independent client components rather than one monolithic page component, so each list can fetch/manage its own state.</w:t>
      </w:r>
    </w:p>
    <w:p>
      <w:r>
        <w:br w:type="page"/>
      </w:r>
    </w:p>
    <w:p>
      <w:pPr>
        <w:pStyle w:val="Heading1"/>
        <w:spacing w:after="160" w:before="400"/>
      </w:pPr>
      <w:r>
        <w:t xml:space="preserve">2. Ask Insights (Natural-Language Query)</w:t>
      </w:r>
    </w:p>
    <w:p>
      <w:pPr>
        <w:spacing w:after="120"/>
      </w:pPr>
      <w:r>
        <w:rPr>
          <w:i/>
          <w:iCs/>
          <w:color w:val="6B7280"/>
        </w:rPr>
        <w:t xml:space="preserve">A conversational query box that turns a plain-English finance question into a structured query, a chart, and a written summary.</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Let a non-technical user ask a question like "overdue bills by entity this quarter" and get a correct, cited answer without writing a query or knowing the underlying schema.</w:t>
      </w:r>
    </w:p>
    <w:p>
      <w:pPr>
        <w:pStyle w:val="Heading3"/>
        <w:spacing w:after="80" w:before="200"/>
      </w:pPr>
      <w:r>
        <w:t xml:space="preserve">Primary users</w:t>
      </w:r>
    </w:p>
    <w:p>
      <w:pPr>
        <w:pStyle w:val="ListParagraph"/>
        <w:numPr>
          <w:ilvl w:val="0"/>
          <w:numId w:val="1"/>
        </w:numPr>
        <w:spacing w:after="60"/>
      </w:pPr>
      <w:r>
        <w:t xml:space="preserve">Any authenticated user on the Insights home page or inside the report builder</w:t>
      </w:r>
    </w:p>
    <w:p>
      <w:pPr>
        <w:pStyle w:val="Heading3"/>
        <w:spacing w:after="80" w:before="200"/>
      </w:pPr>
      <w:r>
        <w:t xml:space="preserve">User flow</w:t>
      </w:r>
    </w:p>
    <w:p>
      <w:pPr>
        <w:pStyle w:val="ListParagraph"/>
        <w:numPr>
          <w:ilvl w:val="0"/>
          <w:numId w:val="1"/>
        </w:numPr>
        <w:spacing w:after="60"/>
      </w:pPr>
      <w:r>
        <w:t xml:space="preserve">1. User types a free-text question (max 500 characters) and submits it.</w:t>
      </w:r>
    </w:p>
    <w:p>
      <w:pPr>
        <w:pStyle w:val="ListParagraph"/>
        <w:numPr>
          <w:ilvl w:val="0"/>
          <w:numId w:val="1"/>
        </w:numPr>
        <w:spacing w:after="60"/>
      </w:pPr>
      <w:r>
        <w:t xml:space="preserve">2. The server plans a structured query against the semantic layer using an LLM, executes it against the in-memory warehouse, and summarizes the result.</w:t>
      </w:r>
    </w:p>
    <w:p>
      <w:pPr>
        <w:pStyle w:val="ListParagraph"/>
        <w:numPr>
          <w:ilvl w:val="0"/>
          <w:numId w:val="1"/>
        </w:numPr>
        <w:spacing w:after="60"/>
      </w:pPr>
      <w:r>
        <w:t xml:space="preserve">3. The UI renders the answer: a one-sentence interpretation, a chart (if applicable), the result table, a written summary, and three suggested follow-up questions.</w:t>
      </w:r>
    </w:p>
    <w:p>
      <w:pPr>
        <w:pStyle w:val="ListParagraph"/>
        <w:numPr>
          <w:ilvl w:val="0"/>
          <w:numId w:val="1"/>
        </w:numPr>
        <w:spacing w:after="60"/>
      </w:pPr>
      <w:r>
        <w:t xml:space="preserve">4. User can continue the conversation with a follow-up question or send the answer into the Report Builder as a new block.</w:t>
      </w:r>
    </w:p>
    <w:p>
      <w:pPr>
        <w:pStyle w:val="Heading3"/>
        <w:spacing w:after="80" w:before="200"/>
      </w:pPr>
      <w:r>
        <w:t xml:space="preserve">Functional requirements</w:t>
      </w:r>
    </w:p>
    <w:p>
      <w:pPr>
        <w:pStyle w:val="ListParagraph"/>
        <w:numPr>
          <w:ilvl w:val="0"/>
          <w:numId w:val="1"/>
        </w:numPr>
        <w:spacing w:after="60"/>
      </w:pPr>
      <w:r>
        <w:t xml:space="preserve">Reject empty questions with a 400 and a friendly message.</w:t>
      </w:r>
    </w:p>
    <w:p>
      <w:pPr>
        <w:pStyle w:val="ListParagraph"/>
        <w:numPr>
          <w:ilvl w:val="0"/>
          <w:numId w:val="1"/>
        </w:numPr>
        <w:spacing w:after="60"/>
      </w:pPr>
      <w:r>
        <w:t xml:space="preserve">The planning step must choose exactly one dataset and only use field keys that exist in that dataset.</w:t>
      </w:r>
    </w:p>
    <w:p>
      <w:pPr>
        <w:pStyle w:val="ListParagraph"/>
        <w:numPr>
          <w:ilvl w:val="0"/>
          <w:numId w:val="1"/>
        </w:numPr>
        <w:spacing w:after="60"/>
      </w:pPr>
      <w:r>
        <w:t xml:space="preserve">Chart type is restricted to bar/line/area/pie/none and is only attached when the chosen dimension is part of the query and there is more than one result row.</w:t>
      </w:r>
    </w:p>
    <w:p>
      <w:pPr>
        <w:pStyle w:val="ListParagraph"/>
        <w:numPr>
          <w:ilvl w:val="0"/>
          <w:numId w:val="1"/>
        </w:numPr>
        <w:spacing w:after="60"/>
      </w:pPr>
      <w:r>
        <w:t xml:space="preserve">The summary step is a separate, smaller/faster model call and must not fabricate figures outside the returned rows.</w:t>
      </w:r>
    </w:p>
    <w:p>
      <w:pPr>
        <w:pStyle w:val="ListParagraph"/>
        <w:numPr>
          <w:ilvl w:val="0"/>
          <w:numId w:val="1"/>
        </w:numPr>
        <w:spacing w:after="60"/>
      </w:pPr>
      <w:r>
        <w:t xml:space="preserve">Always return exactly three follow-up questions in plain business language (no field keys/underscores).</w:t>
      </w:r>
    </w:p>
    <w:p>
      <w:pPr>
        <w:pStyle w:val="Heading3"/>
        <w:spacing w:after="80" w:before="200"/>
      </w:pPr>
      <w:r>
        <w:t xml:space="preserve">Edge cases &amp; rules</w:t>
      </w:r>
    </w:p>
    <w:p>
      <w:pPr>
        <w:pStyle w:val="ListParagraph"/>
        <w:numPr>
          <w:ilvl w:val="0"/>
          <w:numId w:val="1"/>
        </w:numPr>
        <w:spacing w:after="60"/>
      </w:pPr>
      <w:r>
        <w:t xml:space="preserve">LLM planning or execution failures return a 500 with a generic "could not answer that question" message (errors are logged server-side, not surfaced raw to the user).</w:t>
      </w:r>
    </w:p>
    <w:p>
      <w:pPr>
        <w:pStyle w:val="ListParagraph"/>
        <w:numPr>
          <w:ilvl w:val="0"/>
          <w:numId w:val="1"/>
        </w:numPr>
        <w:spacing w:after="60"/>
      </w:pPr>
      <w:r>
        <w:t xml:space="preserve">Point-in-time measures (e.g. ending_balance, nav) are described to the model as requiring a single-month filter to avoid incorrect summation across months.</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Route</w:t>
            </w:r>
          </w:p>
        </w:tc>
        <w:tc>
          <w:tcPr>
            <w:tcW w:type="pct" w:w="3600"/>
            <w:tcMar>
              <w:top w:type="dxa" w:w="80"/>
              <w:left w:type="dxa" w:w="120"/>
              <w:bottom w:type="dxa" w:w="80"/>
              <w:right w:type="dxa" w:w="120"/>
            </w:tcMar>
          </w:tcPr>
          <w:p>
            <w:r>
              <w:t xml:space="preserve">POST /api/nlq (app/api/nlq/route.ts)</w:t>
            </w:r>
          </w:p>
        </w:tc>
      </w:tr>
      <w:tr>
        <w:tc>
          <w:tcPr>
            <w:tcW w:type="pct" w:w="1400"/>
            <w:tcMar>
              <w:top w:type="dxa" w:w="80"/>
              <w:left w:type="dxa" w:w="120"/>
              <w:bottom w:type="dxa" w:w="80"/>
              <w:right w:type="dxa" w:w="120"/>
            </w:tcMar>
          </w:tcPr>
          <w:p>
            <w:r>
              <w:rPr>
                <w:b/>
                <w:bCs/>
              </w:rPr>
              <w:t xml:space="preserve">Planning model</w:t>
            </w:r>
          </w:p>
        </w:tc>
        <w:tc>
          <w:tcPr>
            <w:tcW w:type="pct" w:w="3600"/>
            <w:tcMar>
              <w:top w:type="dxa" w:w="80"/>
              <w:left w:type="dxa" w:w="120"/>
              <w:bottom w:type="dxa" w:w="80"/>
              <w:right w:type="dxa" w:w="120"/>
            </w:tcMar>
          </w:tcPr>
          <w:p>
            <w:r>
              <w:t xml:space="preserve">openai/gpt-5-mini via AI Gateway (generateText + Output.object)</w:t>
            </w:r>
          </w:p>
        </w:tc>
      </w:tr>
      <w:tr>
        <w:tc>
          <w:tcPr>
            <w:tcW w:type="pct" w:w="1400"/>
            <w:tcMar>
              <w:top w:type="dxa" w:w="80"/>
              <w:left w:type="dxa" w:w="120"/>
              <w:bottom w:type="dxa" w:w="80"/>
              <w:right w:type="dxa" w:w="120"/>
            </w:tcMar>
          </w:tcPr>
          <w:p>
            <w:r>
              <w:rPr>
                <w:b/>
                <w:bCs/>
              </w:rPr>
              <w:t xml:space="preserve">Summary model</w:t>
            </w:r>
          </w:p>
        </w:tc>
        <w:tc>
          <w:tcPr>
            <w:tcW w:type="pct" w:w="3600"/>
            <w:tcMar>
              <w:top w:type="dxa" w:w="80"/>
              <w:left w:type="dxa" w:w="120"/>
              <w:bottom w:type="dxa" w:w="80"/>
              <w:right w:type="dxa" w:w="120"/>
            </w:tcMar>
          </w:tcPr>
          <w:p>
            <w:r>
              <w:t xml:space="preserve">openai/gpt-4.1-mini via AI Gateway</w:t>
            </w:r>
          </w:p>
        </w:tc>
      </w:tr>
      <w:tr>
        <w:tc>
          <w:tcPr>
            <w:tcW w:type="pct" w:w="1400"/>
            <w:tcMar>
              <w:top w:type="dxa" w:w="80"/>
              <w:left w:type="dxa" w:w="120"/>
              <w:bottom w:type="dxa" w:w="80"/>
              <w:right w:type="dxa" w:w="120"/>
            </w:tcMar>
          </w:tcPr>
          <w:p>
            <w:r>
              <w:rPr>
                <w:b/>
                <w:bCs/>
              </w:rPr>
              <w:t xml:space="preserve">Max duration</w:t>
            </w:r>
          </w:p>
        </w:tc>
        <w:tc>
          <w:tcPr>
            <w:tcW w:type="pct" w:w="3600"/>
            <w:tcMar>
              <w:top w:type="dxa" w:w="80"/>
              <w:left w:type="dxa" w:w="120"/>
              <w:bottom w:type="dxa" w:w="80"/>
              <w:right w:type="dxa" w:w="120"/>
            </w:tcMar>
          </w:tcPr>
          <w:p>
            <w:r>
              <w:t xml:space="preserve">60s (maxDuration export)</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app/api/nlq/route.ts</w:t>
      </w:r>
    </w:p>
    <w:p>
      <w:pPr>
        <w:spacing w:after="80"/>
      </w:pPr>
      <w:r>
        <w:rPr>
          <w:rFonts w:ascii="Courier New" w:cs="Courier New" w:eastAsia="Courier New" w:hAnsi="Courier New"/>
          <w:color w:val="6B7280"/>
          <w:sz w:val="20"/>
          <w:szCs w:val="20"/>
        </w:rPr>
        <w:t xml:space="preserve">components/insights/nlq-answer.tsx</w:t>
      </w:r>
    </w:p>
    <w:p>
      <w:pPr>
        <w:spacing w:after="80"/>
      </w:pPr>
      <w:r>
        <w:rPr>
          <w:rFonts w:ascii="Courier New" w:cs="Courier New" w:eastAsia="Courier New" w:hAnsi="Courier New"/>
          <w:color w:val="6B7280"/>
          <w:sz w:val="20"/>
          <w:szCs w:val="20"/>
        </w:rPr>
        <w:t xml:space="preserve">components/insights/insights-search.tsx</w:t>
      </w:r>
    </w:p>
    <w:p>
      <w:pPr>
        <w:spacing w:after="80"/>
      </w:pPr>
      <w:r>
        <w:rPr>
          <w:rFonts w:ascii="Courier New" w:cs="Courier New" w:eastAsia="Courier New" w:hAnsi="Courier New"/>
          <w:color w:val="6B7280"/>
          <w:sz w:val="20"/>
          <w:szCs w:val="20"/>
        </w:rPr>
        <w:t xml:space="preserve">lib/warehouse/schema.ts (semantic layer field definitions)</w:t>
      </w:r>
    </w:p>
    <w:p>
      <w:pPr>
        <w:spacing w:after="80"/>
      </w:pPr>
      <w:r>
        <w:rPr>
          <w:rFonts w:ascii="Courier New" w:cs="Courier New" w:eastAsia="Courier New" w:hAnsi="Courier New"/>
          <w:color w:val="6B7280"/>
          <w:sz w:val="20"/>
          <w:szCs w:val="20"/>
        </w:rPr>
        <w:t xml:space="preserve">lib/warehouse/data.ts (distinctValues, TODAY)</w:t>
      </w:r>
    </w:p>
    <w:p>
      <w:pPr>
        <w:spacing w:after="80"/>
      </w:pPr>
      <w:r>
        <w:rPr>
          <w:rFonts w:ascii="Courier New" w:cs="Courier New" w:eastAsia="Courier New" w:hAnsi="Courier New"/>
          <w:color w:val="6B7280"/>
          <w:sz w:val="20"/>
          <w:szCs w:val="20"/>
        </w:rPr>
        <w:t xml:space="preserve">lib/warehouse/engine.ts (runQuery, sanitizeQuery)</w:t>
      </w:r>
    </w:p>
    <w:p>
      <w:pPr>
        <w:spacing w:after="80"/>
      </w:pPr>
      <w:r>
        <w:rPr>
          <w:rFonts w:ascii="Courier New" w:cs="Courier New" w:eastAsia="Courier New" w:hAnsi="Courier New"/>
          <w:color w:val="6B7280"/>
          <w:sz w:val="20"/>
          <w:szCs w:val="20"/>
        </w:rPr>
        <w:t xml:space="preserve">lib/canvas.ts (NlqAnswer type)</w:t>
      </w:r>
    </w:p>
    <w:p>
      <w:pPr>
        <w:pStyle w:val="Heading3"/>
        <w:spacing w:after="80" w:before="200"/>
      </w:pPr>
      <w:r>
        <w:t xml:space="preserve">API surface</w:t>
      </w:r>
    </w:p>
    <w:p>
      <w:pPr>
        <w:pStyle w:val="ListParagraph"/>
        <w:numPr>
          <w:ilvl w:val="0"/>
          <w:numId w:val="1"/>
        </w:numPr>
        <w:spacing w:after="60"/>
      </w:pPr>
      <w:r>
        <w:rPr>
          <w:b/>
          <w:bCs/>
        </w:rPr>
        <w:t xml:space="preserve">POST /api/nlq: </w:t>
      </w:r>
      <w:r>
        <w:t xml:space="preserve">Body: { question: string }. Returns { answer: NlqAnswer, result: QueryResult } or { error }.</w:t>
      </w:r>
    </w:p>
    <w:p>
      <w:pPr>
        <w:pStyle w:val="Heading3"/>
        <w:spacing w:after="80" w:before="200"/>
      </w:pPr>
      <w:r>
        <w:t xml:space="preserve">Implementation notes</w:t>
      </w:r>
    </w:p>
    <w:p>
      <w:pPr>
        <w:pStyle w:val="ListParagraph"/>
        <w:numPr>
          <w:ilvl w:val="0"/>
          <w:numId w:val="1"/>
        </w:numPr>
        <w:spacing w:after="60"/>
      </w:pPr>
      <w:r>
        <w:t xml:space="preserve">The system prompt is generated dynamically from the dataset registry (describeSemanticLayer), so adding a field to lib/warehouse/schema.ts automatically updates what the model is told it can query.</w:t>
      </w:r>
    </w:p>
    <w:p>
      <w:pPr>
        <w:pStyle w:val="ListParagraph"/>
        <w:numPr>
          <w:ilvl w:val="0"/>
          <w:numId w:val="1"/>
        </w:numPr>
        <w:spacing w:after="60"/>
      </w:pPr>
      <w:r>
        <w:t xml:space="preserve">Two-model split (planner vs. summarizer) trades one extra round trip for using a stronger reasoning model only where it is needed.</w:t>
      </w:r>
    </w:p>
    <w:p>
      <w:r>
        <w:br w:type="page"/>
      </w:r>
    </w:p>
    <w:p>
      <w:pPr>
        <w:pStyle w:val="Heading1"/>
        <w:spacing w:after="160" w:before="400"/>
      </w:pPr>
      <w:r>
        <w:t xml:space="preserve">3. Report Library</w:t>
      </w:r>
    </w:p>
    <w:p>
      <w:pPr>
        <w:spacing w:after="120"/>
      </w:pPr>
      <w:r>
        <w:rPr>
          <w:i/>
          <w:iCs/>
          <w:color w:val="6B7280"/>
        </w:rPr>
        <w:t xml:space="preserve">A searchable, categorized catalog of every canned report the platform ships, with run and edit-in-builder actions.</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Let users discover existing reports by category, report type, or free-text search instead of building every report from scratch.</w:t>
      </w:r>
    </w:p>
    <w:p>
      <w:pPr>
        <w:pStyle w:val="Heading3"/>
        <w:spacing w:after="80" w:before="200"/>
      </w:pPr>
      <w:r>
        <w:t xml:space="preserve">Primary users</w:t>
      </w:r>
    </w:p>
    <w:p>
      <w:pPr>
        <w:pStyle w:val="ListParagraph"/>
        <w:numPr>
          <w:ilvl w:val="0"/>
          <w:numId w:val="1"/>
        </w:numPr>
        <w:spacing w:after="60"/>
      </w:pPr>
      <w:r>
        <w:t xml:space="preserve">All users browsing for an existing report before building a custom one</w:t>
      </w:r>
    </w:p>
    <w:p>
      <w:pPr>
        <w:pStyle w:val="Heading3"/>
        <w:spacing w:after="80" w:before="200"/>
      </w:pPr>
      <w:r>
        <w:t xml:space="preserve">User flow</w:t>
      </w:r>
    </w:p>
    <w:p>
      <w:pPr>
        <w:pStyle w:val="ListParagraph"/>
        <w:numPr>
          <w:ilvl w:val="0"/>
          <w:numId w:val="1"/>
        </w:numPr>
        <w:spacing w:after="60"/>
      </w:pPr>
      <w:r>
        <w:t xml:space="preserve">1. User navigates to /library, optionally with ?q= and ?category= query params (e.g. from a search or a category link).</w:t>
      </w:r>
    </w:p>
    <w:p>
      <w:pPr>
        <w:pStyle w:val="ListParagraph"/>
        <w:numPr>
          <w:ilvl w:val="0"/>
          <w:numId w:val="1"/>
        </w:numPr>
        <w:spacing w:after="60"/>
      </w:pPr>
      <w:r>
        <w:t xml:space="preserve">2. User filters by category/report type and/or types a search term.</w:t>
      </w:r>
    </w:p>
    <w:p>
      <w:pPr>
        <w:pStyle w:val="ListParagraph"/>
        <w:numPr>
          <w:ilvl w:val="0"/>
          <w:numId w:val="1"/>
        </w:numPr>
        <w:spacing w:after="60"/>
      </w:pPr>
      <w:r>
        <w:t xml:space="preserve">3. User clicks a report to either run it (view output) or open it in the builder (edit as a starting point).</w:t>
      </w:r>
    </w:p>
    <w:p>
      <w:pPr>
        <w:pStyle w:val="Heading3"/>
        <w:spacing w:after="80" w:before="200"/>
      </w:pPr>
      <w:r>
        <w:t xml:space="preserve">Functional requirements</w:t>
      </w:r>
    </w:p>
    <w:p>
      <w:pPr>
        <w:pStyle w:val="ListParagraph"/>
        <w:numPr>
          <w:ilvl w:val="0"/>
          <w:numId w:val="1"/>
        </w:numPr>
        <w:spacing w:after="60"/>
      </w:pPr>
      <w:r>
        <w:t xml:space="preserve">Reports are derived at module-load time from a static catalog (reportCatalog) grouped by category, not stored per-row in a database.</w:t>
      </w:r>
    </w:p>
    <w:p>
      <w:pPr>
        <w:pStyle w:val="ListParagraph"/>
        <w:numPr>
          <w:ilvl w:val="0"/>
          <w:numId w:val="1"/>
        </w:numPr>
        <w:spacing w:after="60"/>
      </w:pPr>
      <w:r>
        <w:t xml:space="preserve">Each report is auto-classified into one of 13 report types via regex rules against its name (e.g. "Aging", "Holdings", "Ledger"), with a fallback "Summaries &amp; Overviews" type.</w:t>
      </w:r>
    </w:p>
    <w:p>
      <w:pPr>
        <w:pStyle w:val="ListParagraph"/>
        <w:numPr>
          <w:ilvl w:val="0"/>
          <w:numId w:val="1"/>
        </w:numPr>
        <w:spacing w:after="60"/>
      </w:pPr>
      <w:r>
        <w:t xml:space="preserve">Each report is auto-assigned PDF/XLSX formats: label/letter reports are PDF-only, "(Excel only)" variants are XLSX-only, everything else supports both.</w:t>
      </w:r>
    </w:p>
    <w:p>
      <w:pPr>
        <w:pStyle w:val="ListParagraph"/>
        <w:numPr>
          <w:ilvl w:val="0"/>
          <w:numId w:val="1"/>
        </w:numPr>
        <w:spacing w:after="60"/>
      </w:pPr>
      <w:r>
        <w:t xml:space="preserve">Search scores matches on report name (weight 3) and combined keyword blob of name+category+type+description (weight 1), filtering out zero-score results.</w:t>
      </w:r>
    </w:p>
    <w:p>
      <w:pPr>
        <w:pStyle w:val="ListParagraph"/>
        <w:numPr>
          <w:ilvl w:val="0"/>
          <w:numId w:val="1"/>
        </w:numPr>
        <w:spacing w:after="60"/>
      </w:pPr>
      <w:r>
        <w:t xml:space="preserve">Initial query/category from the URL must be respected on first render.</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Route</w:t>
            </w:r>
          </w:p>
        </w:tc>
        <w:tc>
          <w:tcPr>
            <w:tcW w:type="pct" w:w="3600"/>
            <w:tcMar>
              <w:top w:type="dxa" w:w="80"/>
              <w:left w:type="dxa" w:w="120"/>
              <w:bottom w:type="dxa" w:w="80"/>
              <w:right w:type="dxa" w:w="120"/>
            </w:tcMar>
          </w:tcPr>
          <w:p>
            <w:r>
              <w:t xml:space="preserve">/library (app/library/page.tsx)</w:t>
            </w:r>
          </w:p>
        </w:tc>
      </w:tr>
      <w:tr>
        <w:tc>
          <w:tcPr>
            <w:tcW w:type="pct" w:w="1400"/>
            <w:tcMar>
              <w:top w:type="dxa" w:w="80"/>
              <w:left w:type="dxa" w:w="120"/>
              <w:bottom w:type="dxa" w:w="80"/>
              <w:right w:type="dxa" w:w="120"/>
            </w:tcMar>
          </w:tcPr>
          <w:p>
            <w:r>
              <w:rPr>
                <w:b/>
                <w:bCs/>
              </w:rPr>
              <w:t xml:space="preserve">Data source</w:t>
            </w:r>
          </w:p>
        </w:tc>
        <w:tc>
          <w:tcPr>
            <w:tcW w:type="pct" w:w="3600"/>
            <w:tcMar>
              <w:top w:type="dxa" w:w="80"/>
              <w:left w:type="dxa" w:w="120"/>
              <w:bottom w:type="dxa" w:w="80"/>
              <w:right w:type="dxa" w:w="120"/>
            </w:tcMar>
          </w:tcPr>
          <w:p>
            <w:r>
              <w:t xml:space="preserve">Static catalog (lib/report-catalog.ts) transformed in lib/report-library.ts</w:t>
            </w:r>
          </w:p>
        </w:tc>
      </w:tr>
      <w:tr>
        <w:tc>
          <w:tcPr>
            <w:tcW w:type="pct" w:w="1400"/>
            <w:tcMar>
              <w:top w:type="dxa" w:w="80"/>
              <w:left w:type="dxa" w:w="120"/>
              <w:bottom w:type="dxa" w:w="80"/>
              <w:right w:type="dxa" w:w="120"/>
            </w:tcMar>
          </w:tcPr>
          <w:p>
            <w:r>
              <w:rPr>
                <w:b/>
                <w:bCs/>
              </w:rPr>
              <w:t xml:space="preserve">Search</w:t>
            </w:r>
          </w:p>
        </w:tc>
        <w:tc>
          <w:tcPr>
            <w:tcW w:type="pct" w:w="3600"/>
            <w:tcMar>
              <w:top w:type="dxa" w:w="80"/>
              <w:left w:type="dxa" w:w="120"/>
              <w:bottom w:type="dxa" w:w="80"/>
              <w:right w:type="dxa" w:w="120"/>
            </w:tcMar>
          </w:tcPr>
          <w:p>
            <w:r>
              <w:t xml:space="preserve">In-memory keyword scoring, no external search service</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app/library/page.tsx</w:t>
      </w:r>
    </w:p>
    <w:p>
      <w:pPr>
        <w:spacing w:after="80"/>
      </w:pPr>
      <w:r>
        <w:rPr>
          <w:rFonts w:ascii="Courier New" w:cs="Courier New" w:eastAsia="Courier New" w:hAnsi="Courier New"/>
          <w:color w:val="6B7280"/>
          <w:sz w:val="20"/>
          <w:szCs w:val="20"/>
        </w:rPr>
        <w:t xml:space="preserve">components/library/report-library.tsx</w:t>
      </w:r>
    </w:p>
    <w:p>
      <w:pPr>
        <w:spacing w:after="80"/>
      </w:pPr>
      <w:r>
        <w:rPr>
          <w:rFonts w:ascii="Courier New" w:cs="Courier New" w:eastAsia="Courier New" w:hAnsi="Courier New"/>
          <w:color w:val="6B7280"/>
          <w:sz w:val="20"/>
          <w:szCs w:val="20"/>
        </w:rPr>
        <w:t xml:space="preserve">lib/report-library.ts (Report type, categorization, search, href builders)</w:t>
      </w:r>
    </w:p>
    <w:p>
      <w:pPr>
        <w:spacing w:after="80"/>
      </w:pPr>
      <w:r>
        <w:rPr>
          <w:rFonts w:ascii="Courier New" w:cs="Courier New" w:eastAsia="Courier New" w:hAnsi="Courier New"/>
          <w:color w:val="6B7280"/>
          <w:sz w:val="20"/>
          <w:szCs w:val="20"/>
        </w:rPr>
        <w:t xml:space="preserve">lib/report-catalog.ts (raw [category, name] tuples)</w:t>
      </w:r>
    </w:p>
    <w:p>
      <w:pPr>
        <w:pStyle w:val="Heading3"/>
        <w:spacing w:after="80" w:before="200"/>
      </w:pPr>
      <w:r>
        <w:t xml:space="preserve">Data model</w:t>
      </w:r>
    </w:p>
    <w:p>
      <w:pPr>
        <w:pStyle w:val="ListParagraph"/>
        <w:numPr>
          <w:ilvl w:val="0"/>
          <w:numId w:val="1"/>
        </w:numPr>
        <w:spacing w:after="60"/>
      </w:pPr>
      <w:r>
        <w:rPr>
          <w:b/>
          <w:bCs/>
        </w:rPr>
        <w:t xml:space="preserve">Report: </w:t>
      </w:r>
      <w:r>
        <w:t xml:space="preserve">id, name, baseName, category, reportType, description, variants[], formats[], keywords — all derived, none persisted.</w:t>
      </w:r>
    </w:p>
    <w:p>
      <w:pPr>
        <w:pStyle w:val="Heading3"/>
        <w:spacing w:after="80" w:before="200"/>
      </w:pPr>
      <w:r>
        <w:t xml:space="preserve">Implementation notes</w:t>
      </w:r>
    </w:p>
    <w:p>
      <w:pPr>
        <w:pStyle w:val="ListParagraph"/>
        <w:numPr>
          <w:ilvl w:val="0"/>
          <w:numId w:val="1"/>
        </w:numPr>
        <w:spacing w:after="60"/>
      </w:pPr>
      <w:r>
        <w:t xml:space="preserve">builderHref(report) -&gt; /builder/edit?report={id} and runHref(report) -&gt; /reports/run?report={id} are the two canonical entry points out of the library.</w:t>
      </w:r>
    </w:p>
    <w:p>
      <w:r>
        <w:br w:type="page"/>
      </w:r>
    </w:p>
    <w:p>
      <w:pPr>
        <w:pStyle w:val="Heading1"/>
        <w:spacing w:after="160" w:before="400"/>
      </w:pPr>
      <w:r>
        <w:t xml:space="preserve">4. Report Runner (View a Report)</w:t>
      </w:r>
    </w:p>
    <w:p>
      <w:pPr>
        <w:spacing w:after="120"/>
      </w:pPr>
      <w:r>
        <w:rPr>
          <w:i/>
          <w:iCs/>
          <w:color w:val="6B7280"/>
        </w:rPr>
        <w:t xml:space="preserve">Renders the read-only output of a report — either a canned library report or a previously saved report — against live warehouse data.</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Give users a clean, printable view of a report’s output without exposing the builder chrome.</w:t>
      </w:r>
    </w:p>
    <w:p>
      <w:pPr>
        <w:pStyle w:val="Heading3"/>
        <w:spacing w:after="80" w:before="200"/>
      </w:pPr>
      <w:r>
        <w:t xml:space="preserve">Primary users</w:t>
      </w:r>
    </w:p>
    <w:p>
      <w:pPr>
        <w:pStyle w:val="ListParagraph"/>
        <w:numPr>
          <w:ilvl w:val="0"/>
          <w:numId w:val="1"/>
        </w:numPr>
        <w:spacing w:after="60"/>
      </w:pPr>
      <w:r>
        <w:t xml:space="preserve">Users who clicked "Run" from the library or a saved report</w:t>
      </w:r>
    </w:p>
    <w:p>
      <w:pPr>
        <w:pStyle w:val="Heading3"/>
        <w:spacing w:after="80" w:before="200"/>
      </w:pPr>
      <w:r>
        <w:t xml:space="preserve">User flow</w:t>
      </w:r>
    </w:p>
    <w:p>
      <w:pPr>
        <w:pStyle w:val="ListParagraph"/>
        <w:numPr>
          <w:ilvl w:val="0"/>
          <w:numId w:val="1"/>
        </w:numPr>
        <w:spacing w:after="60"/>
      </w:pPr>
      <w:r>
        <w:t xml:space="preserve">1. User arrives at /reports/run with either ?report={libraryId} or ?saved={savedDocId}.</w:t>
      </w:r>
    </w:p>
    <w:p>
      <w:pPr>
        <w:pStyle w:val="ListParagraph"/>
        <w:numPr>
          <w:ilvl w:val="0"/>
          <w:numId w:val="1"/>
        </w:numPr>
        <w:spacing w:after="60"/>
      </w:pPr>
      <w:r>
        <w:t xml:space="preserve">2. Server resolves the id to a CanvasDoc: library reports are converted via canvasFromReport(); saved reports are loaded directly from the saved-report store.</w:t>
      </w:r>
    </w:p>
    <w:p>
      <w:pPr>
        <w:pStyle w:val="ListParagraph"/>
        <w:numPr>
          <w:ilvl w:val="0"/>
          <w:numId w:val="1"/>
        </w:numPr>
        <w:spacing w:after="60"/>
      </w:pPr>
      <w:r>
        <w:t xml:space="preserve">3. If no doc resolves, the page 404s (notFound()).</w:t>
      </w:r>
    </w:p>
    <w:p>
      <w:pPr>
        <w:pStyle w:val="ListParagraph"/>
        <w:numPr>
          <w:ilvl w:val="0"/>
          <w:numId w:val="1"/>
        </w:numPr>
        <w:spacing w:after="60"/>
      </w:pPr>
      <w:r>
        <w:t xml:space="preserve">4. ReportViewer renders the resolved blocks and stamps a "ran at" timestamp; an "Edit" link routes back into the builder with the right query param.</w:t>
      </w:r>
    </w:p>
    <w:p>
      <w:pPr>
        <w:pStyle w:val="Heading3"/>
        <w:spacing w:after="80" w:before="200"/>
      </w:pPr>
      <w:r>
        <w:t xml:space="preserve">Functional requirements</w:t>
      </w:r>
    </w:p>
    <w:p>
      <w:pPr>
        <w:pStyle w:val="ListParagraph"/>
        <w:numPr>
          <w:ilvl w:val="0"/>
          <w:numId w:val="1"/>
        </w:numPr>
        <w:spacing w:after="60"/>
      </w:pPr>
      <w:r>
        <w:t xml:space="preserve">Must support both source types (report catalog id and saved doc id) through the same page and component.</w:t>
      </w:r>
    </w:p>
    <w:p>
      <w:pPr>
        <w:pStyle w:val="ListParagraph"/>
        <w:numPr>
          <w:ilvl w:val="0"/>
          <w:numId w:val="1"/>
        </w:numPr>
        <w:spacing w:after="60"/>
      </w:pPr>
      <w:r>
        <w:t xml:space="preserve">Missing/unknown ids must 404, not render an empty page.</w:t>
      </w:r>
    </w:p>
    <w:p>
      <w:pPr>
        <w:pStyle w:val="ListParagraph"/>
        <w:numPr>
          <w:ilvl w:val="0"/>
          <w:numId w:val="1"/>
        </w:numPr>
        <w:spacing w:after="60"/>
      </w:pPr>
      <w:r>
        <w:t xml:space="preserve">The edit link must preserve enough context to reopen the exact same document in the builder (?saved=id or the library’s builderHref).</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Route</w:t>
            </w:r>
          </w:p>
        </w:tc>
        <w:tc>
          <w:tcPr>
            <w:tcW w:type="pct" w:w="3600"/>
            <w:tcMar>
              <w:top w:type="dxa" w:w="80"/>
              <w:left w:type="dxa" w:w="120"/>
              <w:bottom w:type="dxa" w:w="80"/>
              <w:right w:type="dxa" w:w="120"/>
            </w:tcMar>
          </w:tcPr>
          <w:p>
            <w:r>
              <w:t xml:space="preserve">/reports/run (app/reports/run/page.tsx)</w:t>
            </w:r>
          </w:p>
        </w:tc>
      </w:tr>
      <w:tr>
        <w:tc>
          <w:tcPr>
            <w:tcW w:type="pct" w:w="1400"/>
            <w:tcMar>
              <w:top w:type="dxa" w:w="80"/>
              <w:left w:type="dxa" w:w="120"/>
              <w:bottom w:type="dxa" w:w="80"/>
              <w:right w:type="dxa" w:w="120"/>
            </w:tcMar>
          </w:tcPr>
          <w:p>
            <w:r>
              <w:rPr>
                <w:b/>
                <w:bCs/>
              </w:rPr>
              <w:t xml:space="preserve">Rendering</w:t>
            </w:r>
          </w:p>
        </w:tc>
        <w:tc>
          <w:tcPr>
            <w:tcW w:type="pct" w:w="3600"/>
            <w:tcMar>
              <w:top w:type="dxa" w:w="80"/>
              <w:left w:type="dxa" w:w="120"/>
              <w:bottom w:type="dxa" w:w="80"/>
              <w:right w:type="dxa" w:w="120"/>
            </w:tcMar>
          </w:tcPr>
          <w:p>
            <w:r>
              <w:t xml:space="preserve">Server Component resolving data before render</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app/reports/run/page.tsx</w:t>
      </w:r>
    </w:p>
    <w:p>
      <w:pPr>
        <w:spacing w:after="80"/>
      </w:pPr>
      <w:r>
        <w:rPr>
          <w:rFonts w:ascii="Courier New" w:cs="Courier New" w:eastAsia="Courier New" w:hAnsi="Courier New"/>
          <w:color w:val="6B7280"/>
          <w:sz w:val="20"/>
          <w:szCs w:val="20"/>
        </w:rPr>
        <w:t xml:space="preserve">components/report/report-viewer.tsx</w:t>
      </w:r>
    </w:p>
    <w:p>
      <w:pPr>
        <w:spacing w:after="80"/>
      </w:pPr>
      <w:r>
        <w:rPr>
          <w:rFonts w:ascii="Courier New" w:cs="Courier New" w:eastAsia="Courier New" w:hAnsi="Courier New"/>
          <w:color w:val="6B7280"/>
          <w:sz w:val="20"/>
          <w:szCs w:val="20"/>
        </w:rPr>
        <w:t xml:space="preserve">lib/canvas.ts (canvasFromReport, CanvasDoc)</w:t>
      </w:r>
    </w:p>
    <w:p>
      <w:pPr>
        <w:spacing w:after="80"/>
      </w:pPr>
      <w:r>
        <w:rPr>
          <w:rFonts w:ascii="Courier New" w:cs="Courier New" w:eastAsia="Courier New" w:hAnsi="Courier New"/>
          <w:color w:val="6B7280"/>
          <w:sz w:val="20"/>
          <w:szCs w:val="20"/>
        </w:rPr>
        <w:t xml:space="preserve">lib/report-library.ts (reports, builderHref)</w:t>
      </w:r>
    </w:p>
    <w:p>
      <w:pPr>
        <w:spacing w:after="80"/>
      </w:pPr>
      <w:r>
        <w:rPr>
          <w:rFonts w:ascii="Courier New" w:cs="Courier New" w:eastAsia="Courier New" w:hAnsi="Courier New"/>
          <w:color w:val="6B7280"/>
          <w:sz w:val="20"/>
          <w:szCs w:val="20"/>
        </w:rPr>
        <w:t xml:space="preserve">lib/saved-store.ts (getSaved)</w:t>
      </w:r>
    </w:p>
    <w:p>
      <w:pPr>
        <w:pStyle w:val="Heading3"/>
        <w:spacing w:after="80" w:before="200"/>
      </w:pPr>
      <w:r>
        <w:t xml:space="preserve">Implementation notes</w:t>
      </w:r>
    </w:p>
    <w:p>
      <w:pPr>
        <w:pStyle w:val="ListParagraph"/>
        <w:numPr>
          <w:ilvl w:val="0"/>
          <w:numId w:val="1"/>
        </w:numPr>
        <w:spacing w:after="60"/>
      </w:pPr>
      <w:r>
        <w:t xml:space="preserve">canvasFromReport() is the adapter that turns a static library Report into the same CanvasDoc shape the builder/viewer use, so one viewer component serves both canned and custom reports.</w:t>
      </w:r>
    </w:p>
    <w:p>
      <w:r>
        <w:br w:type="page"/>
      </w:r>
    </w:p>
    <w:p>
      <w:pPr>
        <w:pStyle w:val="Heading1"/>
        <w:spacing w:after="160" w:before="400"/>
      </w:pPr>
      <w:r>
        <w:t xml:space="preserve">5. Report Builder</w:t>
      </w:r>
    </w:p>
    <w:p>
      <w:pPr>
        <w:spacing w:after="120"/>
      </w:pPr>
      <w:r>
        <w:rPr>
          <w:i/>
          <w:iCs/>
          <w:color w:val="6B7280"/>
        </w:rPr>
        <w:t xml:space="preserve">A block-based, drag-and-drop canvas for assembling custom reports out of Heading, Text, Table, and Chart elements.</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Let users compose a report visually — add/reorder/configure blocks bound to live warehouse queries — without writing code or SQL.</w:t>
      </w:r>
    </w:p>
    <w:p>
      <w:pPr>
        <w:pStyle w:val="Heading3"/>
        <w:spacing w:after="80" w:before="200"/>
      </w:pPr>
      <w:r>
        <w:t xml:space="preserve">Primary users</w:t>
      </w:r>
    </w:p>
    <w:p>
      <w:pPr>
        <w:pStyle w:val="ListParagraph"/>
        <w:numPr>
          <w:ilvl w:val="0"/>
          <w:numId w:val="1"/>
        </w:numPr>
        <w:spacing w:after="60"/>
      </w:pPr>
      <w:r>
        <w:t xml:space="preserve">Analysts building a new report from scratch, from a library report, from an NLQ answer, or from a dashboard widget</w:t>
      </w:r>
    </w:p>
    <w:p>
      <w:pPr>
        <w:pStyle w:val="Heading3"/>
        <w:spacing w:after="80" w:before="200"/>
      </w:pPr>
      <w:r>
        <w:t xml:space="preserve">User flow</w:t>
      </w:r>
    </w:p>
    <w:p>
      <w:pPr>
        <w:pStyle w:val="ListParagraph"/>
        <w:numPr>
          <w:ilvl w:val="0"/>
          <w:numId w:val="1"/>
        </w:numPr>
        <w:spacing w:after="60"/>
      </w:pPr>
      <w:r>
        <w:t xml:space="preserve">1. User opens /builder/edit (bare = blank canvas), or with ?report=, ?saved=, or ?widget= to start from an existing source.</w:t>
      </w:r>
    </w:p>
    <w:p>
      <w:pPr>
        <w:pStyle w:val="ListParagraph"/>
        <w:numPr>
          <w:ilvl w:val="0"/>
          <w:numId w:val="1"/>
        </w:numPr>
        <w:spacing w:after="60"/>
      </w:pPr>
      <w:r>
        <w:t xml:space="preserve">2. User drags an element from the Elements panel (Heading, Text, Table, Chart) onto the canvas, or edits/reorders/removes existing blocks.</w:t>
      </w:r>
    </w:p>
    <w:p>
      <w:pPr>
        <w:pStyle w:val="ListParagraph"/>
        <w:numPr>
          <w:ilvl w:val="0"/>
          <w:numId w:val="1"/>
        </w:numPr>
        <w:spacing w:after="60"/>
      </w:pPr>
      <w:r>
        <w:t xml:space="preserve">3. For Table/Chart blocks, the user configures the underlying query (dataset, dimensions, measures, filters, sort) via the block’s options panel; data is fetched live.</w:t>
      </w:r>
    </w:p>
    <w:p>
      <w:pPr>
        <w:pStyle w:val="ListParagraph"/>
        <w:numPr>
          <w:ilvl w:val="0"/>
          <w:numId w:val="1"/>
        </w:numPr>
        <w:spacing w:after="60"/>
      </w:pPr>
      <w:r>
        <w:t xml:space="preserve">4. User saves the document (POST /api/saved), which assigns/keeps an id and can be reopened later via ?saved=.</w:t>
      </w:r>
    </w:p>
    <w:p>
      <w:pPr>
        <w:pStyle w:val="Heading3"/>
        <w:spacing w:after="80" w:before="200"/>
      </w:pPr>
      <w:r>
        <w:t xml:space="preserve">Functional requirements</w:t>
      </w:r>
    </w:p>
    <w:p>
      <w:pPr>
        <w:pStyle w:val="ListParagraph"/>
        <w:numPr>
          <w:ilvl w:val="0"/>
          <w:numId w:val="1"/>
        </w:numPr>
        <w:spacing w:after="60"/>
      </w:pPr>
      <w:r>
        <w:t xml:space="preserve">The Elements panel must present all four block types as uniform, equally-sized squares (icon + label), so no element implies more visual importance than another.</w:t>
      </w:r>
    </w:p>
    <w:p>
      <w:pPr>
        <w:pStyle w:val="ListParagraph"/>
        <w:numPr>
          <w:ilvl w:val="0"/>
          <w:numId w:val="1"/>
        </w:numPr>
        <w:spacing w:after="60"/>
      </w:pPr>
      <w:r>
        <w:t xml:space="preserve">Each starting source (?report, ?saved, ?widget) must deterministically rebuild the same CanvasDoc without relying on request-scoped or in-memory session state, so a direct link or a server restart does not break the flow.</w:t>
      </w:r>
    </w:p>
    <w:p>
      <w:pPr>
        <w:pStyle w:val="ListParagraph"/>
        <w:numPr>
          <w:ilvl w:val="0"/>
          <w:numId w:val="1"/>
        </w:numPr>
        <w:spacing w:after="60"/>
      </w:pPr>
      <w:r>
        <w:t xml:space="preserve">Blocks are capped at 50 per document (enforced server-side on save via docSchema).</w:t>
      </w:r>
    </w:p>
    <w:p>
      <w:pPr>
        <w:pStyle w:val="ListParagraph"/>
        <w:numPr>
          <w:ilvl w:val="0"/>
          <w:numId w:val="1"/>
        </w:numPr>
        <w:spacing w:after="60"/>
      </w:pPr>
      <w:r>
        <w:t xml:space="preserve">Table and Chart blocks read their data through the shared query engine (/api/query or server-side runQuery), not ad hoc fetch logic per block type.</w:t>
      </w:r>
    </w:p>
    <w:p>
      <w:pPr>
        <w:pStyle w:val="Heading3"/>
        <w:spacing w:after="80" w:before="200"/>
      </w:pPr>
      <w:r>
        <w:t xml:space="preserve">Edge cases &amp; rules</w:t>
      </w:r>
    </w:p>
    <w:p>
      <w:pPr>
        <w:pStyle w:val="ListParagraph"/>
        <w:numPr>
          <w:ilvl w:val="0"/>
          <w:numId w:val="1"/>
        </w:numPr>
        <w:spacing w:after="60"/>
      </w:pPr>
      <w:r>
        <w:t xml:space="preserve">Opening /builder/edit?widget={widgetId} must resolve the widget definition directly from the dashboard widget catalog and regenerate the canvas doc on every load — this replaced an earlier design that depended on a short-lived server-memory draft keyed by a one-time id, which 404’d after a server restart or cold start.</w:t>
      </w:r>
    </w:p>
    <w:p>
      <w:pPr>
        <w:pStyle w:val="ListParagraph"/>
        <w:numPr>
          <w:ilvl w:val="0"/>
          <w:numId w:val="1"/>
        </w:numPr>
        <w:spacing w:after="60"/>
      </w:pPr>
      <w:r>
        <w:t xml:space="preserve">Unknown ?report / ?saved / ?widget values should fail gracefully (e.g. fall back to a blank canvas or show a clear not-found state), not throw.</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Route</w:t>
            </w:r>
          </w:p>
        </w:tc>
        <w:tc>
          <w:tcPr>
            <w:tcW w:type="pct" w:w="3600"/>
            <w:tcMar>
              <w:top w:type="dxa" w:w="80"/>
              <w:left w:type="dxa" w:w="120"/>
              <w:bottom w:type="dxa" w:w="80"/>
              <w:right w:type="dxa" w:w="120"/>
            </w:tcMar>
          </w:tcPr>
          <w:p>
            <w:r>
              <w:t xml:space="preserve">/builder/edit (app/builder/edit/page.tsx); /builder redirects here</w:t>
            </w:r>
          </w:p>
        </w:tc>
      </w:tr>
      <w:tr>
        <w:tc>
          <w:tcPr>
            <w:tcW w:type="pct" w:w="1400"/>
            <w:tcMar>
              <w:top w:type="dxa" w:w="80"/>
              <w:left w:type="dxa" w:w="120"/>
              <w:bottom w:type="dxa" w:w="80"/>
              <w:right w:type="dxa" w:w="120"/>
            </w:tcMar>
          </w:tcPr>
          <w:p>
            <w:r>
              <w:rPr>
                <w:b/>
                <w:bCs/>
              </w:rPr>
              <w:t xml:space="preserve">State</w:t>
            </w:r>
          </w:p>
        </w:tc>
        <w:tc>
          <w:tcPr>
            <w:tcW w:type="pct" w:w="3600"/>
            <w:tcMar>
              <w:top w:type="dxa" w:w="80"/>
              <w:left w:type="dxa" w:w="120"/>
              <w:bottom w:type="dxa" w:w="80"/>
              <w:right w:type="dxa" w:w="120"/>
            </w:tcMar>
          </w:tcPr>
          <w:p>
            <w:r>
              <w:t xml:space="preserve">Client-side canvas state (CanvasDoc), hydrated from a server-resolved initial doc</w:t>
            </w:r>
          </w:p>
        </w:tc>
      </w:tr>
      <w:tr>
        <w:tc>
          <w:tcPr>
            <w:tcW w:type="pct" w:w="1400"/>
            <w:tcMar>
              <w:top w:type="dxa" w:w="80"/>
              <w:left w:type="dxa" w:w="120"/>
              <w:bottom w:type="dxa" w:w="80"/>
              <w:right w:type="dxa" w:w="120"/>
            </w:tcMar>
          </w:tcPr>
          <w:p>
            <w:r>
              <w:rPr>
                <w:b/>
                <w:bCs/>
              </w:rPr>
              <w:t xml:space="preserve">Persistence</w:t>
            </w:r>
          </w:p>
        </w:tc>
        <w:tc>
          <w:tcPr>
            <w:tcW w:type="pct" w:w="3600"/>
            <w:tcMar>
              <w:top w:type="dxa" w:w="80"/>
              <w:left w:type="dxa" w:w="120"/>
              <w:bottom w:type="dxa" w:w="80"/>
              <w:right w:type="dxa" w:w="120"/>
            </w:tcMar>
          </w:tcPr>
          <w:p>
            <w:r>
              <w:t xml:space="preserve">POST/GET/DELETE /api/saved (saved-store.ts, server memory)</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app/builder/page.tsx (redirect to /builder/edit)</w:t>
      </w:r>
    </w:p>
    <w:p>
      <w:pPr>
        <w:spacing w:after="80"/>
      </w:pPr>
      <w:r>
        <w:rPr>
          <w:rFonts w:ascii="Courier New" w:cs="Courier New" w:eastAsia="Courier New" w:hAnsi="Courier New"/>
          <w:color w:val="6B7280"/>
          <w:sz w:val="20"/>
          <w:szCs w:val="20"/>
        </w:rPr>
        <w:t xml:space="preserve">app/builder/edit/page.tsx (resolves report/saved/widget -&gt; initial CanvasDoc)</w:t>
      </w:r>
    </w:p>
    <w:p>
      <w:pPr>
        <w:spacing w:after="80"/>
      </w:pPr>
      <w:r>
        <w:rPr>
          <w:rFonts w:ascii="Courier New" w:cs="Courier New" w:eastAsia="Courier New" w:hAnsi="Courier New"/>
          <w:color w:val="6B7280"/>
          <w:sz w:val="20"/>
          <w:szCs w:val="20"/>
        </w:rPr>
        <w:t xml:space="preserve">components/builder/elements-panel.tsx (Heading/Text/Table/Chart source blocks)</w:t>
      </w:r>
    </w:p>
    <w:p>
      <w:pPr>
        <w:spacing w:after="80"/>
      </w:pPr>
      <w:r>
        <w:rPr>
          <w:rFonts w:ascii="Courier New" w:cs="Courier New" w:eastAsia="Courier New" w:hAnsi="Courier New"/>
          <w:color w:val="6B7280"/>
          <w:sz w:val="20"/>
          <w:szCs w:val="20"/>
        </w:rPr>
        <w:t xml:space="preserve">components/builder/block-options.ts</w:t>
      </w:r>
    </w:p>
    <w:p>
      <w:pPr>
        <w:spacing w:after="80"/>
      </w:pPr>
      <w:r>
        <w:rPr>
          <w:rFonts w:ascii="Courier New" w:cs="Courier New" w:eastAsia="Courier New" w:hAnsi="Courier New"/>
          <w:color w:val="6B7280"/>
          <w:sz w:val="20"/>
          <w:szCs w:val="20"/>
        </w:rPr>
        <w:t xml:space="preserve">lib/canvas.ts (CanvasDoc, block types, canvasFromReport)</w:t>
      </w:r>
    </w:p>
    <w:p>
      <w:pPr>
        <w:spacing w:after="80"/>
      </w:pPr>
      <w:r>
        <w:rPr>
          <w:rFonts w:ascii="Courier New" w:cs="Courier New" w:eastAsia="Courier New" w:hAnsi="Courier New"/>
          <w:color w:val="6B7280"/>
          <w:sz w:val="20"/>
          <w:szCs w:val="20"/>
        </w:rPr>
        <w:t xml:space="preserve">lib/doc-schema.ts (server-side validation on save)</w:t>
      </w:r>
    </w:p>
    <w:p>
      <w:pPr>
        <w:spacing w:after="80"/>
      </w:pPr>
      <w:r>
        <w:rPr>
          <w:rFonts w:ascii="Courier New" w:cs="Courier New" w:eastAsia="Courier New" w:hAnsi="Courier New"/>
          <w:color w:val="6B7280"/>
          <w:sz w:val="20"/>
          <w:szCs w:val="20"/>
        </w:rPr>
        <w:t xml:space="preserve">lib/saved-store.ts</w:t>
      </w:r>
    </w:p>
    <w:p>
      <w:pPr>
        <w:spacing w:after="80"/>
      </w:pPr>
      <w:r>
        <w:rPr>
          <w:rFonts w:ascii="Courier New" w:cs="Courier New" w:eastAsia="Courier New" w:hAnsi="Courier New"/>
          <w:color w:val="6B7280"/>
          <w:sz w:val="20"/>
          <w:szCs w:val="20"/>
        </w:rPr>
        <w:t xml:space="preserve">app/api/saved/route.ts</w:t>
      </w:r>
    </w:p>
    <w:p>
      <w:pPr>
        <w:spacing w:after="80"/>
      </w:pPr>
      <w:r>
        <w:rPr>
          <w:rFonts w:ascii="Courier New" w:cs="Courier New" w:eastAsia="Courier New" w:hAnsi="Courier New"/>
          <w:color w:val="6B7280"/>
          <w:sz w:val="20"/>
          <w:szCs w:val="20"/>
        </w:rPr>
        <w:t xml:space="preserve">hooks/use-report-data.ts (data fetching for table/chart blocks)</w:t>
      </w:r>
    </w:p>
    <w:p>
      <w:pPr>
        <w:pStyle w:val="Heading3"/>
        <w:spacing w:after="80" w:before="200"/>
      </w:pPr>
      <w:r>
        <w:t xml:space="preserve">Data model</w:t>
      </w:r>
    </w:p>
    <w:p>
      <w:pPr>
        <w:pStyle w:val="ListParagraph"/>
        <w:numPr>
          <w:ilvl w:val="0"/>
          <w:numId w:val="1"/>
        </w:numPr>
        <w:spacing w:after="60"/>
      </w:pPr>
      <w:r>
        <w:rPr>
          <w:b/>
          <w:bCs/>
        </w:rPr>
        <w:t xml:space="preserve">CanvasDoc: </w:t>
      </w:r>
      <w:r>
        <w:t xml:space="preserve">id, title, description, source (nlq | library | blank | dashboard), sourceLabel, blocks[] (max 50), updatedAt.</w:t>
      </w:r>
    </w:p>
    <w:p>
      <w:pPr>
        <w:pStyle w:val="ListParagraph"/>
        <w:numPr>
          <w:ilvl w:val="0"/>
          <w:numId w:val="1"/>
        </w:numPr>
        <w:spacing w:after="60"/>
      </w:pPr>
      <w:r>
        <w:rPr>
          <w:b/>
          <w:bCs/>
        </w:rPr>
        <w:t xml:space="preserve">Block: </w:t>
      </w:r>
      <w:r>
        <w:t xml:space="preserve">Discriminated union: heading, text, table (QuerySpec-bound), chart (QuerySpec + chart type bound).</w:t>
      </w:r>
    </w:p>
    <w:p>
      <w:pPr>
        <w:pStyle w:val="Heading3"/>
        <w:spacing w:after="80" w:before="200"/>
      </w:pPr>
      <w:r>
        <w:t xml:space="preserve">API surface</w:t>
      </w:r>
    </w:p>
    <w:p>
      <w:pPr>
        <w:pStyle w:val="ListParagraph"/>
        <w:numPr>
          <w:ilvl w:val="0"/>
          <w:numId w:val="1"/>
        </w:numPr>
        <w:spacing w:after="60"/>
      </w:pPr>
      <w:r>
        <w:rPr>
          <w:b/>
          <w:bCs/>
        </w:rPr>
        <w:t xml:space="preserve">GET /api/saved?id=: </w:t>
      </w:r>
      <w:r>
        <w:t xml:space="preserve">Fetch one saved doc, or list all when id is omitted.</w:t>
      </w:r>
    </w:p>
    <w:p>
      <w:pPr>
        <w:pStyle w:val="ListParagraph"/>
        <w:numPr>
          <w:ilvl w:val="0"/>
          <w:numId w:val="1"/>
        </w:numPr>
        <w:spacing w:after="60"/>
      </w:pPr>
      <w:r>
        <w:rPr>
          <w:b/>
          <w:bCs/>
        </w:rPr>
        <w:t xml:space="preserve">POST /api/saved: </w:t>
      </w:r>
      <w:r>
        <w:t xml:space="preserve">Validates body against docSchema and upserts it.</w:t>
      </w:r>
    </w:p>
    <w:p>
      <w:pPr>
        <w:pStyle w:val="ListParagraph"/>
        <w:numPr>
          <w:ilvl w:val="0"/>
          <w:numId w:val="1"/>
        </w:numPr>
        <w:spacing w:after="60"/>
      </w:pPr>
      <w:r>
        <w:rPr>
          <w:b/>
          <w:bCs/>
        </w:rPr>
        <w:t xml:space="preserve">DELETE /api/saved?id=: </w:t>
      </w:r>
      <w:r>
        <w:t xml:space="preserve">Removes a saved doc.</w:t>
      </w:r>
    </w:p>
    <w:p>
      <w:pPr>
        <w:pStyle w:val="Heading3"/>
        <w:spacing w:after="80" w:before="200"/>
      </w:pPr>
      <w:r>
        <w:t xml:space="preserve">Implementation notes</w:t>
      </w:r>
    </w:p>
    <w:p>
      <w:pPr>
        <w:pStyle w:val="ListParagraph"/>
        <w:numPr>
          <w:ilvl w:val="0"/>
          <w:numId w:val="1"/>
        </w:numPr>
        <w:spacing w:after="60"/>
      </w:pPr>
      <w:r>
        <w:t xml:space="preserve">Known limitation carried over from the prototype: saved-store.ts and the dashboards store both keep documents in server memory (a Map on globalThis) rather than a database, so data does not survive a deploy/restart and is not scoped per environment. This is acceptable for the prototype but should move to persistent storage (e.g. Neon/Postgres) before production use.</w:t>
      </w:r>
    </w:p>
    <w:p>
      <w:r>
        <w:br w:type="page"/>
      </w:r>
    </w:p>
    <w:p>
      <w:pPr>
        <w:pStyle w:val="Heading1"/>
        <w:spacing w:after="160" w:before="400"/>
      </w:pPr>
      <w:r>
        <w:t xml:space="preserve">6. Dashboards (List &amp; Sharing)</w:t>
      </w:r>
    </w:p>
    <w:p>
      <w:pPr>
        <w:spacing w:after="120"/>
      </w:pPr>
      <w:r>
        <w:rPr>
          <w:i/>
          <w:iCs/>
          <w:color w:val="6B7280"/>
        </w:rPr>
        <w:t xml:space="preserve">A workspace for creating multi-widget dashboards, with per-dashboard owner/edit/view sharing permissions.</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Give teams a persistent, shareable surface made of live widgets (not just one-off reports) for recurring monitoring needs like portfolio overview or treasury.</w:t>
      </w:r>
    </w:p>
    <w:p>
      <w:pPr>
        <w:pStyle w:val="Heading3"/>
        <w:spacing w:after="80" w:before="200"/>
      </w:pPr>
      <w:r>
        <w:t xml:space="preserve">Primary users</w:t>
      </w:r>
    </w:p>
    <w:p>
      <w:pPr>
        <w:pStyle w:val="ListParagraph"/>
        <w:numPr>
          <w:ilvl w:val="0"/>
          <w:numId w:val="1"/>
        </w:numPr>
        <w:spacing w:after="60"/>
      </w:pPr>
      <w:r>
        <w:t xml:space="preserve">Dashboard owners who create and share</w:t>
      </w:r>
    </w:p>
    <w:p>
      <w:pPr>
        <w:pStyle w:val="ListParagraph"/>
        <w:numPr>
          <w:ilvl w:val="0"/>
          <w:numId w:val="1"/>
        </w:numPr>
        <w:spacing w:after="60"/>
      </w:pPr>
      <w:r>
        <w:t xml:space="preserve">Collaborators with edit access</w:t>
      </w:r>
    </w:p>
    <w:p>
      <w:pPr>
        <w:pStyle w:val="ListParagraph"/>
        <w:numPr>
          <w:ilvl w:val="0"/>
          <w:numId w:val="1"/>
        </w:numPr>
        <w:spacing w:after="60"/>
      </w:pPr>
      <w:r>
        <w:t xml:space="preserve">Viewers with read-only access</w:t>
      </w:r>
    </w:p>
    <w:p>
      <w:pPr>
        <w:pStyle w:val="Heading3"/>
        <w:spacing w:after="80" w:before="200"/>
      </w:pPr>
      <w:r>
        <w:t xml:space="preserve">User flow</w:t>
      </w:r>
    </w:p>
    <w:p>
      <w:pPr>
        <w:pStyle w:val="ListParagraph"/>
        <w:numPr>
          <w:ilvl w:val="0"/>
          <w:numId w:val="1"/>
        </w:numPr>
        <w:spacing w:after="60"/>
      </w:pPr>
      <w:r>
        <w:t xml:space="preserve">1. User opens /dashboard and sees every dashboard they own or have been shared (view or edit).</w:t>
      </w:r>
    </w:p>
    <w:p>
      <w:pPr>
        <w:pStyle w:val="ListParagraph"/>
        <w:numPr>
          <w:ilvl w:val="0"/>
          <w:numId w:val="1"/>
        </w:numPr>
        <w:spacing w:after="60"/>
      </w:pPr>
      <w:r>
        <w:t xml:space="preserve">2. User creates a new dashboard or opens an existing one to view/edit its widgets.</w:t>
      </w:r>
    </w:p>
    <w:p>
      <w:pPr>
        <w:pStyle w:val="ListParagraph"/>
        <w:numPr>
          <w:ilvl w:val="0"/>
          <w:numId w:val="1"/>
        </w:numPr>
        <w:spacing w:after="60"/>
      </w:pPr>
      <w:r>
        <w:t xml:space="preserve">3. An owner can share a dashboard with other users at "view" or "edit" permission.</w:t>
      </w:r>
    </w:p>
    <w:p>
      <w:pPr>
        <w:pStyle w:val="Heading3"/>
        <w:spacing w:after="80" w:before="200"/>
      </w:pPr>
      <w:r>
        <w:t xml:space="preserve">Functional requirements</w:t>
      </w:r>
    </w:p>
    <w:p>
      <w:pPr>
        <w:pStyle w:val="ListParagraph"/>
        <w:numPr>
          <w:ilvl w:val="0"/>
          <w:numId w:val="1"/>
        </w:numPr>
        <w:spacing w:after="60"/>
      </w:pPr>
      <w:r>
        <w:t xml:space="preserve">Access is computed per request from ownerId + sharedWith[], not cached on the client: owner &gt; edit &gt; view &gt; no access (hidden from the list entirely).</w:t>
      </w:r>
    </w:p>
    <w:p>
      <w:pPr>
        <w:pStyle w:val="ListParagraph"/>
        <w:numPr>
          <w:ilvl w:val="0"/>
          <w:numId w:val="1"/>
        </w:numPr>
        <w:spacing w:after="60"/>
      </w:pPr>
      <w:r>
        <w:t xml:space="preserve">Only the owner may delete a dashboard or change who it is shared with; an editor can change widgets/name/description but not sharing.</w:t>
      </w:r>
    </w:p>
    <w:p>
      <w:pPr>
        <w:pStyle w:val="ListParagraph"/>
        <w:numPr>
          <w:ilvl w:val="0"/>
          <w:numId w:val="1"/>
        </w:numPr>
        <w:spacing w:after="60"/>
      </w:pPr>
      <w:r>
        <w:t xml:space="preserve">The dashboard list is sorted by most-recently-updated first.</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Routes</w:t>
            </w:r>
          </w:p>
        </w:tc>
        <w:tc>
          <w:tcPr>
            <w:tcW w:type="pct" w:w="3600"/>
            <w:tcMar>
              <w:top w:type="dxa" w:w="80"/>
              <w:left w:type="dxa" w:w="120"/>
              <w:bottom w:type="dxa" w:w="80"/>
              <w:right w:type="dxa" w:w="120"/>
            </w:tcMar>
          </w:tcPr>
          <w:p>
            <w:r>
              <w:t xml:space="preserve">/dashboard (list), /dashboard/[id] (detail)</w:t>
            </w:r>
          </w:p>
        </w:tc>
      </w:tr>
      <w:tr>
        <w:tc>
          <w:tcPr>
            <w:tcW w:type="pct" w:w="1400"/>
            <w:tcMar>
              <w:top w:type="dxa" w:w="80"/>
              <w:left w:type="dxa" w:w="120"/>
              <w:bottom w:type="dxa" w:w="80"/>
              <w:right w:type="dxa" w:w="120"/>
            </w:tcMar>
          </w:tcPr>
          <w:p>
            <w:r>
              <w:rPr>
                <w:b/>
                <w:bCs/>
              </w:rPr>
              <w:t xml:space="preserve">Persistence</w:t>
            </w:r>
          </w:p>
        </w:tc>
        <w:tc>
          <w:tcPr>
            <w:tcW w:type="pct" w:w="3600"/>
            <w:tcMar>
              <w:top w:type="dxa" w:w="80"/>
              <w:left w:type="dxa" w:w="120"/>
              <w:bottom w:type="dxa" w:w="80"/>
              <w:right w:type="dxa" w:w="120"/>
            </w:tcMar>
          </w:tcPr>
          <w:p>
            <w:r>
              <w:t xml:space="preserve">Server-memory store (lib/dashboards/store.ts), seeded with 3 example dashboards</w:t>
            </w:r>
          </w:p>
        </w:tc>
      </w:tr>
      <w:tr>
        <w:tc>
          <w:tcPr>
            <w:tcW w:type="pct" w:w="1400"/>
            <w:tcMar>
              <w:top w:type="dxa" w:w="80"/>
              <w:left w:type="dxa" w:w="120"/>
              <w:bottom w:type="dxa" w:w="80"/>
              <w:right w:type="dxa" w:w="120"/>
            </w:tcMar>
          </w:tcPr>
          <w:p>
            <w:r>
              <w:rPr>
                <w:b/>
                <w:bCs/>
              </w:rPr>
              <w:t xml:space="preserve">Current user</w:t>
            </w:r>
          </w:p>
        </w:tc>
        <w:tc>
          <w:tcPr>
            <w:tcW w:type="pct" w:w="3600"/>
            <w:tcMar>
              <w:top w:type="dxa" w:w="80"/>
              <w:left w:type="dxa" w:w="120"/>
              <w:bottom w:type="dxa" w:w="80"/>
              <w:right w:type="dxa" w:w="120"/>
            </w:tcMar>
          </w:tcPr>
          <w:p>
            <w:r>
              <w:t xml:space="preserve">Hardcoded CURRENT_USER_ID constant (prototype auth stand-in)</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app/dashboard/page.tsx</w:t>
      </w:r>
    </w:p>
    <w:p>
      <w:pPr>
        <w:spacing w:after="80"/>
      </w:pPr>
      <w:r>
        <w:rPr>
          <w:rFonts w:ascii="Courier New" w:cs="Courier New" w:eastAsia="Courier New" w:hAnsi="Courier New"/>
          <w:color w:val="6B7280"/>
          <w:sz w:val="20"/>
          <w:szCs w:val="20"/>
        </w:rPr>
        <w:t xml:space="preserve">app/dashboard/[id]/page.tsx</w:t>
      </w:r>
    </w:p>
    <w:p>
      <w:pPr>
        <w:spacing w:after="80"/>
      </w:pPr>
      <w:r>
        <w:rPr>
          <w:rFonts w:ascii="Courier New" w:cs="Courier New" w:eastAsia="Courier New" w:hAnsi="Courier New"/>
          <w:color w:val="6B7280"/>
          <w:sz w:val="20"/>
          <w:szCs w:val="20"/>
        </w:rPr>
        <w:t xml:space="preserve">components/dashboards/dashboards-index.tsx</w:t>
      </w:r>
    </w:p>
    <w:p>
      <w:pPr>
        <w:spacing w:after="80"/>
      </w:pPr>
      <w:r>
        <w:rPr>
          <w:rFonts w:ascii="Courier New" w:cs="Courier New" w:eastAsia="Courier New" w:hAnsi="Courier New"/>
          <w:color w:val="6B7280"/>
          <w:sz w:val="20"/>
          <w:szCs w:val="20"/>
        </w:rPr>
        <w:t xml:space="preserve">components/dashboards/dashboard-workspace.tsx</w:t>
      </w:r>
    </w:p>
    <w:p>
      <w:pPr>
        <w:spacing w:after="80"/>
      </w:pPr>
      <w:r>
        <w:rPr>
          <w:rFonts w:ascii="Courier New" w:cs="Courier New" w:eastAsia="Courier New" w:hAnsi="Courier New"/>
          <w:color w:val="6B7280"/>
          <w:sz w:val="20"/>
          <w:szCs w:val="20"/>
        </w:rPr>
        <w:t xml:space="preserve">lib/dashboards/model.ts (types, dashboardInputSchema, widget())</w:t>
      </w:r>
    </w:p>
    <w:p>
      <w:pPr>
        <w:spacing w:after="80"/>
      </w:pPr>
      <w:r>
        <w:rPr>
          <w:rFonts w:ascii="Courier New" w:cs="Courier New" w:eastAsia="Courier New" w:hAnsi="Courier New"/>
          <w:color w:val="6B7280"/>
          <w:sz w:val="20"/>
          <w:szCs w:val="20"/>
        </w:rPr>
        <w:t xml:space="preserve">lib/dashboards/store.ts (listDashboards, getDashboard, saveDashboard, deleteDashboard, accessFor)</w:t>
      </w:r>
    </w:p>
    <w:p>
      <w:pPr>
        <w:spacing w:after="80"/>
      </w:pPr>
      <w:r>
        <w:rPr>
          <w:rFonts w:ascii="Courier New" w:cs="Courier New" w:eastAsia="Courier New" w:hAnsi="Courier New"/>
          <w:color w:val="6B7280"/>
          <w:sz w:val="20"/>
          <w:szCs w:val="20"/>
        </w:rPr>
        <w:t xml:space="preserve">app/api/dashboards/route.ts</w:t>
      </w:r>
    </w:p>
    <w:p>
      <w:pPr>
        <w:pStyle w:val="Heading3"/>
        <w:spacing w:after="80" w:before="200"/>
      </w:pPr>
      <w:r>
        <w:t xml:space="preserve">Data model</w:t>
      </w:r>
    </w:p>
    <w:p>
      <w:pPr>
        <w:pStyle w:val="ListParagraph"/>
        <w:numPr>
          <w:ilvl w:val="0"/>
          <w:numId w:val="1"/>
        </w:numPr>
        <w:spacing w:after="60"/>
      </w:pPr>
      <w:r>
        <w:rPr>
          <w:b/>
          <w:bCs/>
        </w:rPr>
        <w:t xml:space="preserve">Dashboard: </w:t>
      </w:r>
      <w:r>
        <w:t xml:space="preserve">id, name, description, ownerId, createdAt, updatedAt, sharedWith: { userId, permission }[], widgets[].</w:t>
      </w:r>
    </w:p>
    <w:p>
      <w:pPr>
        <w:pStyle w:val="ListParagraph"/>
        <w:numPr>
          <w:ilvl w:val="0"/>
          <w:numId w:val="1"/>
        </w:numPr>
        <w:spacing w:after="60"/>
      </w:pPr>
      <w:r>
        <w:rPr>
          <w:b/>
          <w:bCs/>
        </w:rPr>
        <w:t xml:space="preserve">DashboardAccess: </w:t>
      </w:r>
      <w:r>
        <w:t xml:space="preserve">'owner' | 'edit' | 'view' | null, computed by accessFor(doc, userId).</w:t>
      </w:r>
    </w:p>
    <w:p>
      <w:pPr>
        <w:pStyle w:val="Heading3"/>
        <w:spacing w:after="80" w:before="200"/>
      </w:pPr>
      <w:r>
        <w:t xml:space="preserve">API surface</w:t>
      </w:r>
    </w:p>
    <w:p>
      <w:pPr>
        <w:pStyle w:val="ListParagraph"/>
        <w:numPr>
          <w:ilvl w:val="0"/>
          <w:numId w:val="1"/>
        </w:numPr>
        <w:spacing w:after="60"/>
      </w:pPr>
      <w:r>
        <w:rPr>
          <w:b/>
          <w:bCs/>
        </w:rPr>
        <w:t xml:space="preserve">GET /api/dashboards?id=: </w:t>
      </w:r>
      <w:r>
        <w:t xml:space="preserve">Fetch one dashboard (404 if not found/no access) or list all accessible to the current user.</w:t>
      </w:r>
    </w:p>
    <w:p>
      <w:pPr>
        <w:pStyle w:val="ListParagraph"/>
        <w:numPr>
          <w:ilvl w:val="0"/>
          <w:numId w:val="1"/>
        </w:numPr>
        <w:spacing w:after="60"/>
      </w:pPr>
      <w:r>
        <w:rPr>
          <w:b/>
          <w:bCs/>
        </w:rPr>
        <w:t xml:space="preserve">POST /api/dashboards: </w:t>
      </w:r>
      <w:r>
        <w:t xml:space="preserve">Validates against dashboardInputSchema; creates if new, else enforces owner/edit permission to update; sharing changes are owner-only.</w:t>
      </w:r>
    </w:p>
    <w:p>
      <w:pPr>
        <w:pStyle w:val="ListParagraph"/>
        <w:numPr>
          <w:ilvl w:val="0"/>
          <w:numId w:val="1"/>
        </w:numPr>
        <w:spacing w:after="60"/>
      </w:pPr>
      <w:r>
        <w:rPr>
          <w:b/>
          <w:bCs/>
        </w:rPr>
        <w:t xml:space="preserve">DELETE /api/dashboards?id=: </w:t>
      </w:r>
      <w:r>
        <w:t xml:space="preserve">Owner-only; returns 403 for non-owners.</w:t>
      </w:r>
    </w:p>
    <w:p>
      <w:pPr>
        <w:pStyle w:val="Heading3"/>
        <w:spacing w:after="80" w:before="200"/>
      </w:pPr>
      <w:r>
        <w:t xml:space="preserve">Implementation notes</w:t>
      </w:r>
    </w:p>
    <w:p>
      <w:pPr>
        <w:pStyle w:val="ListParagraph"/>
        <w:numPr>
          <w:ilvl w:val="0"/>
          <w:numId w:val="1"/>
        </w:numPr>
        <w:spacing w:after="60"/>
      </w:pPr>
      <w:r>
        <w:t xml:space="preserve">Same server-memory caveat as saved reports: the store is a Map on globalThis, so it resets on server restart. A production build should back this with Neon/Postgres and real authentication.</w:t>
      </w:r>
    </w:p>
    <w:p>
      <w:r>
        <w:br w:type="page"/>
      </w:r>
    </w:p>
    <w:p>
      <w:pPr>
        <w:pStyle w:val="Heading1"/>
        <w:spacing w:after="160" w:before="400"/>
      </w:pPr>
      <w:r>
        <w:t xml:space="preserve">7. Dashboard Widgets</w:t>
      </w:r>
    </w:p>
    <w:p>
      <w:pPr>
        <w:spacing w:after="120"/>
      </w:pPr>
      <w:r>
        <w:rPr>
          <w:i/>
          <w:iCs/>
          <w:color w:val="6B7280"/>
        </w:rPr>
        <w:t xml:space="preserve">Individual chart/table/metric tiles on a dashboard, each independently editable, replaceable, or exportable into the Report Builder.</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Compose a dashboard from a catalog of pre-built, data-bound widgets (market values, allocation, top positions, cash forecast, etc.) rather than requiring every tile to be hand-built.</w:t>
      </w:r>
    </w:p>
    <w:p>
      <w:pPr>
        <w:pStyle w:val="Heading3"/>
        <w:spacing w:after="80" w:before="200"/>
      </w:pPr>
      <w:r>
        <w:t xml:space="preserve">Primary users</w:t>
      </w:r>
    </w:p>
    <w:p>
      <w:pPr>
        <w:pStyle w:val="ListParagraph"/>
        <w:numPr>
          <w:ilvl w:val="0"/>
          <w:numId w:val="1"/>
        </w:numPr>
        <w:spacing w:after="60"/>
      </w:pPr>
      <w:r>
        <w:t xml:space="preserve">Dashboard editors arranging/configuring widgets</w:t>
      </w:r>
    </w:p>
    <w:p>
      <w:pPr>
        <w:pStyle w:val="ListParagraph"/>
        <w:numPr>
          <w:ilvl w:val="0"/>
          <w:numId w:val="1"/>
        </w:numPr>
        <w:spacing w:after="60"/>
      </w:pPr>
      <w:r>
        <w:t xml:space="preserve">Viewers consuming widget output</w:t>
      </w:r>
    </w:p>
    <w:p>
      <w:pPr>
        <w:pStyle w:val="Heading3"/>
        <w:spacing w:after="80" w:before="200"/>
      </w:pPr>
      <w:r>
        <w:t xml:space="preserve">User flow</w:t>
      </w:r>
    </w:p>
    <w:p>
      <w:pPr>
        <w:pStyle w:val="ListParagraph"/>
        <w:numPr>
          <w:ilvl w:val="0"/>
          <w:numId w:val="1"/>
        </w:numPr>
        <w:spacing w:after="60"/>
      </w:pPr>
      <w:r>
        <w:t xml:space="preserve">1. In edit mode, each widget shows an Options menu with: Change widget, Remove, and "Open in Report Builder".</w:t>
      </w:r>
    </w:p>
    <w:p>
      <w:pPr>
        <w:pStyle w:val="ListParagraph"/>
        <w:numPr>
          <w:ilvl w:val="0"/>
          <w:numId w:val="1"/>
        </w:numPr>
        <w:spacing w:after="60"/>
      </w:pPr>
      <w:r>
        <w:t xml:space="preserve">2. "Change widget" opens a picker of catalog widgets and swaps the current widget definition in place.</w:t>
      </w:r>
    </w:p>
    <w:p>
      <w:pPr>
        <w:pStyle w:val="ListParagraph"/>
        <w:numPr>
          <w:ilvl w:val="0"/>
          <w:numId w:val="1"/>
        </w:numPr>
        <w:spacing w:after="60"/>
      </w:pPr>
      <w:r>
        <w:t xml:space="preserve">3. "Open in Report Builder" navigates to /builder/edit?widget={widgetId}, regenerating that widget as a full report document for deeper editing.</w:t>
      </w:r>
    </w:p>
    <w:p>
      <w:pPr>
        <w:pStyle w:val="ListParagraph"/>
        <w:numPr>
          <w:ilvl w:val="0"/>
          <w:numId w:val="1"/>
        </w:numPr>
        <w:spacing w:after="60"/>
      </w:pPr>
      <w:r>
        <w:t xml:space="preserve">4. Edits are staged client-side until the user clicks Save, which persists the whole dashboard via POST /api/dashboards.</w:t>
      </w:r>
    </w:p>
    <w:p>
      <w:pPr>
        <w:pStyle w:val="Heading3"/>
        <w:spacing w:after="80" w:before="200"/>
      </w:pPr>
      <w:r>
        <w:t xml:space="preserve">Functional requirements</w:t>
      </w:r>
    </w:p>
    <w:p>
      <w:pPr>
        <w:pStyle w:val="ListParagraph"/>
        <w:numPr>
          <w:ilvl w:val="0"/>
          <w:numId w:val="1"/>
        </w:numPr>
        <w:spacing w:after="60"/>
      </w:pPr>
      <w:r>
        <w:t xml:space="preserve">Widget catalog entries declare their own query/visualization so a widget can be rendered identically on the dashboard and reconstructed as builder blocks.</w:t>
      </w:r>
    </w:p>
    <w:p>
      <w:pPr>
        <w:pStyle w:val="ListParagraph"/>
        <w:numPr>
          <w:ilvl w:val="0"/>
          <w:numId w:val="1"/>
        </w:numPr>
        <w:spacing w:after="60"/>
      </w:pPr>
      <w:r>
        <w:t xml:space="preserve">The "Open in Report Builder" link must work without any prior server round trip (no draft-creation step) — it is a plain navigational link, so it is resilient to server restarts and works even if opened directly or in a new tab.</w:t>
      </w:r>
    </w:p>
    <w:p>
      <w:pPr>
        <w:pStyle w:val="ListParagraph"/>
        <w:numPr>
          <w:ilvl w:val="0"/>
          <w:numId w:val="1"/>
        </w:numPr>
        <w:spacing w:after="60"/>
      </w:pPr>
      <w:r>
        <w:t xml:space="preserve">Widget size variants (e.g. "md") control grid footprint on the dashboard canvas.</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Component</w:t>
            </w:r>
          </w:p>
        </w:tc>
        <w:tc>
          <w:tcPr>
            <w:tcW w:type="pct" w:w="3600"/>
            <w:tcMar>
              <w:top w:type="dxa" w:w="80"/>
              <w:left w:type="dxa" w:w="120"/>
              <w:bottom w:type="dxa" w:w="80"/>
              <w:right w:type="dxa" w:w="120"/>
            </w:tcMar>
          </w:tcPr>
          <w:p>
            <w:r>
              <w:t xml:space="preserve">components/dashboards/widget-frame.tsx</w:t>
            </w:r>
          </w:p>
        </w:tc>
      </w:tr>
      <w:tr>
        <w:tc>
          <w:tcPr>
            <w:tcW w:type="pct" w:w="1400"/>
            <w:tcMar>
              <w:top w:type="dxa" w:w="80"/>
              <w:left w:type="dxa" w:w="120"/>
              <w:bottom w:type="dxa" w:w="80"/>
              <w:right w:type="dxa" w:w="120"/>
            </w:tcMar>
          </w:tcPr>
          <w:p>
            <w:r>
              <w:rPr>
                <w:b/>
                <w:bCs/>
              </w:rPr>
              <w:t xml:space="preserve">Navigation pattern</w:t>
            </w:r>
          </w:p>
        </w:tc>
        <w:tc>
          <w:tcPr>
            <w:tcW w:type="pct" w:w="3600"/>
            <w:tcMar>
              <w:top w:type="dxa" w:w="80"/>
              <w:left w:type="dxa" w:w="120"/>
              <w:bottom w:type="dxa" w:w="80"/>
              <w:right w:type="dxa" w:w="120"/>
            </w:tcMar>
          </w:tcPr>
          <w:p>
            <w:r>
              <w:t xml:space="preserve">Plain &lt;Link href={`/builder/edit?widget=${id}`}&gt; — no server-side draft/session state</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components/dashboards/widget-frame.tsx (OpenInBuilderButton, Options menu, Change widget)</w:t>
      </w:r>
    </w:p>
    <w:p>
      <w:pPr>
        <w:spacing w:after="80"/>
      </w:pPr>
      <w:r>
        <w:rPr>
          <w:rFonts w:ascii="Courier New" w:cs="Courier New" w:eastAsia="Courier New" w:hAnsi="Courier New"/>
          <w:color w:val="6B7280"/>
          <w:sz w:val="20"/>
          <w:szCs w:val="20"/>
        </w:rPr>
        <w:t xml:space="preserve">lib/dashboards/model.ts (widget catalog, widget() factory)</w:t>
      </w:r>
    </w:p>
    <w:p>
      <w:pPr>
        <w:spacing w:after="80"/>
      </w:pPr>
      <w:r>
        <w:rPr>
          <w:rFonts w:ascii="Courier New" w:cs="Courier New" w:eastAsia="Courier New" w:hAnsi="Courier New"/>
          <w:color w:val="6B7280"/>
          <w:sz w:val="20"/>
          <w:szCs w:val="20"/>
        </w:rPr>
        <w:t xml:space="preserve">app/builder/edit/page.tsx (reads ?widget= and rebuilds the CanvasDoc server-side)</w:t>
      </w:r>
    </w:p>
    <w:p>
      <w:pPr>
        <w:pStyle w:val="Heading3"/>
        <w:spacing w:after="80" w:before="200"/>
      </w:pPr>
      <w:r>
        <w:t xml:space="preserve">Implementation notes</w:t>
      </w:r>
    </w:p>
    <w:p>
      <w:pPr>
        <w:pStyle w:val="ListParagraph"/>
        <w:numPr>
          <w:ilvl w:val="0"/>
          <w:numId w:val="1"/>
        </w:numPr>
        <w:spacing w:after="60"/>
      </w:pPr>
      <w:r>
        <w:t xml:space="preserve">This flow was previously implemented with a POST to /api/drafts that stored a one-time document in server memory and returned an id for /builder/edit?draft={id} to fetch. That draft map lived only in server memory, so it was empty after any restart/redeploy/cold start, producing a 404 the moment a user clicked the link in a fresh environment.</w:t>
      </w:r>
    </w:p>
    <w:p>
      <w:pPr>
        <w:pStyle w:val="ListParagraph"/>
        <w:numPr>
          <w:ilvl w:val="0"/>
          <w:numId w:val="1"/>
        </w:numPr>
        <w:spacing w:after="60"/>
      </w:pPr>
      <w:r>
        <w:t xml:space="preserve">Fix: /builder/edit now derives the CanvasDoc straight from ?widget={widgetId} by looking up the same widget catalog the dashboard already renders from, removing the extra network round trip and the fragile shared state entirely.</w:t>
      </w:r>
    </w:p>
    <w:p>
      <w:r>
        <w:br w:type="page"/>
      </w:r>
    </w:p>
    <w:p>
      <w:pPr>
        <w:pStyle w:val="Heading1"/>
        <w:spacing w:after="160" w:before="400"/>
      </w:pPr>
      <w:r>
        <w:t xml:space="preserve">8. Semantic Data Warehouse &amp; Query Engine</w:t>
      </w:r>
    </w:p>
    <w:p>
      <w:pPr>
        <w:spacing w:after="120"/>
      </w:pPr>
      <w:r>
        <w:rPr>
          <w:i/>
          <w:iCs/>
          <w:color w:val="6B7280"/>
        </w:rPr>
        <w:t xml:space="preserve">The shared, in-memory analytical layer (12 datasets) that powers NLQ, the report builder’s table/chart blocks, and dashboard widgets.</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Provide one governed set of fields (dimensions/measures), formats, and aggregation rules so every feature that shows data agrees on field names, labels, and number formatting.</w:t>
      </w:r>
    </w:p>
    <w:p>
      <w:pPr>
        <w:pStyle w:val="Heading3"/>
        <w:spacing w:after="80" w:before="200"/>
      </w:pPr>
      <w:r>
        <w:t xml:space="preserve">Primary users</w:t>
      </w:r>
    </w:p>
    <w:p>
      <w:pPr>
        <w:pStyle w:val="ListParagraph"/>
        <w:numPr>
          <w:ilvl w:val="0"/>
          <w:numId w:val="1"/>
        </w:numPr>
        <w:spacing w:after="60"/>
      </w:pPr>
      <w:r>
        <w:t xml:space="preserve">Internal: every data-bound feature (NLQ, builder, dashboards) consumes this layer; end users never see it directly</w:t>
      </w:r>
    </w:p>
    <w:p>
      <w:pPr>
        <w:pStyle w:val="Heading3"/>
        <w:spacing w:after="80" w:before="200"/>
      </w:pPr>
      <w:r>
        <w:t xml:space="preserve">User flow</w:t>
      </w:r>
    </w:p>
    <w:p>
      <w:pPr>
        <w:pStyle w:val="ListParagraph"/>
        <w:numPr>
          <w:ilvl w:val="0"/>
          <w:numId w:val="1"/>
        </w:numPr>
        <w:spacing w:after="60"/>
      </w:pPr>
      <w:r>
        <w:t xml:space="preserve">1. A caller builds a QuerySpec (dataset, dimensions[], measures[], filters[], sort, limit).</w:t>
      </w:r>
    </w:p>
    <w:p>
      <w:pPr>
        <w:pStyle w:val="ListParagraph"/>
        <w:numPr>
          <w:ilvl w:val="0"/>
          <w:numId w:val="1"/>
        </w:numPr>
        <w:spacing w:after="60"/>
      </w:pPr>
      <w:r>
        <w:t xml:space="preserve">2. sanitizeQuery() strips invalid fields, de-dupes dimensions, clamps the limit to 500 rows, and drops an unresolvable sort.</w:t>
      </w:r>
    </w:p>
    <w:p>
      <w:pPr>
        <w:pStyle w:val="ListParagraph"/>
        <w:numPr>
          <w:ilvl w:val="0"/>
          <w:numId w:val="1"/>
        </w:numPr>
        <w:spacing w:after="60"/>
      </w:pPr>
      <w:r>
        <w:t xml:space="preserve">3. runQuery() filters rows, groups by the dimension tuple, aggregates each measure (sum/avg/min/max/count), sorts, and truncates to the limit.</w:t>
      </w:r>
    </w:p>
    <w:p>
      <w:pPr>
        <w:pStyle w:val="ListParagraph"/>
        <w:numPr>
          <w:ilvl w:val="0"/>
          <w:numId w:val="1"/>
        </w:numPr>
        <w:spacing w:after="60"/>
      </w:pPr>
      <w:r>
        <w:t xml:space="preserve">4. columnsForQuery() derives display columns (key/label/kind/format) so the UI never hardcodes column metadata.</w:t>
      </w:r>
    </w:p>
    <w:p>
      <w:pPr>
        <w:pStyle w:val="Heading3"/>
        <w:spacing w:after="80" w:before="200"/>
      </w:pPr>
      <w:r>
        <w:t xml:space="preserve">Functional requirements</w:t>
      </w:r>
    </w:p>
    <w:p>
      <w:pPr>
        <w:pStyle w:val="ListParagraph"/>
        <w:numPr>
          <w:ilvl w:val="0"/>
          <w:numId w:val="1"/>
        </w:numPr>
        <w:spacing w:after="60"/>
      </w:pPr>
      <w:r>
        <w:t xml:space="preserve">12 datasets covering GL, bills, portfolio holdings, holdings history, capital/NAV, private equity, external accounts, close calendar, workflow, cash forecast, liabilities, and cash/bank activity.</w:t>
      </w:r>
    </w:p>
    <w:p>
      <w:pPr>
        <w:pStyle w:val="ListParagraph"/>
        <w:numPr>
          <w:ilvl w:val="0"/>
          <w:numId w:val="1"/>
        </w:numPr>
        <w:spacing w:after="60"/>
      </w:pPr>
      <w:r>
        <w:t xml:space="preserve">Each field declares a format (currency, number, days, text, month, date, percent, multiple) used consistently by formatValue()/formatCompact() across every surface.</w:t>
      </w:r>
    </w:p>
    <w:p>
      <w:pPr>
        <w:pStyle w:val="ListParagraph"/>
        <w:numPr>
          <w:ilvl w:val="0"/>
          <w:numId w:val="1"/>
        </w:numPr>
        <w:spacing w:after="60"/>
      </w:pPr>
      <w:r>
        <w:t xml:space="preserve">Filter operators: eq, neq, in, gt, gte, lt, lte, between, contains — case-insensitive string comparison where applicable.</w:t>
      </w:r>
    </w:p>
    <w:p>
      <w:pPr>
        <w:pStyle w:val="ListParagraph"/>
        <w:numPr>
          <w:ilvl w:val="0"/>
          <w:numId w:val="1"/>
        </w:numPr>
        <w:spacing w:after="60"/>
      </w:pPr>
      <w:r>
        <w:t xml:space="preserve">Point-in-time measures (nav, ending_balance, market_value in holdings_history) are documented in the dataset description as needing a single-period filter rather than being summed across periods.</w:t>
      </w:r>
    </w:p>
    <w:p>
      <w:pPr>
        <w:pStyle w:val="ListParagraph"/>
        <w:numPr>
          <w:ilvl w:val="0"/>
          <w:numId w:val="1"/>
        </w:numPr>
        <w:spacing w:after="60"/>
      </w:pPr>
      <w:r>
        <w:t xml:space="preserve">Query engine never trusts caller-provided field keys or sort targets without validating them against the dataset’s field list first (sanitizeQuery).</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Module</w:t>
            </w:r>
          </w:p>
        </w:tc>
        <w:tc>
          <w:tcPr>
            <w:tcW w:type="pct" w:w="3600"/>
            <w:tcMar>
              <w:top w:type="dxa" w:w="80"/>
              <w:left w:type="dxa" w:w="120"/>
              <w:bottom w:type="dxa" w:w="80"/>
              <w:right w:type="dxa" w:w="120"/>
            </w:tcMar>
          </w:tcPr>
          <w:p>
            <w:r>
              <w:t xml:space="preserve">lib/warehouse/ (schema.ts, engine.ts, data.ts)</w:t>
            </w:r>
          </w:p>
        </w:tc>
      </w:tr>
      <w:tr>
        <w:tc>
          <w:tcPr>
            <w:tcW w:type="pct" w:w="1400"/>
            <w:tcMar>
              <w:top w:type="dxa" w:w="80"/>
              <w:left w:type="dxa" w:w="120"/>
              <w:bottom w:type="dxa" w:w="80"/>
              <w:right w:type="dxa" w:w="120"/>
            </w:tcMar>
          </w:tcPr>
          <w:p>
            <w:r>
              <w:rPr>
                <w:b/>
                <w:bCs/>
              </w:rPr>
              <w:t xml:space="preserve">Storage</w:t>
            </w:r>
          </w:p>
        </w:tc>
        <w:tc>
          <w:tcPr>
            <w:tcW w:type="pct" w:w="3600"/>
            <w:tcMar>
              <w:top w:type="dxa" w:w="80"/>
              <w:left w:type="dxa" w:w="120"/>
              <w:bottom w:type="dxa" w:w="80"/>
              <w:right w:type="dxa" w:w="120"/>
            </w:tcMar>
          </w:tcPr>
          <w:p>
            <w:r>
              <w:t xml:space="preserve">In-memory generated/seeded tables (not a real database)</w:t>
            </w:r>
          </w:p>
        </w:tc>
      </w:tr>
      <w:tr>
        <w:tc>
          <w:tcPr>
            <w:tcW w:type="pct" w:w="1400"/>
            <w:tcMar>
              <w:top w:type="dxa" w:w="80"/>
              <w:left w:type="dxa" w:w="120"/>
              <w:bottom w:type="dxa" w:w="80"/>
              <w:right w:type="dxa" w:w="120"/>
            </w:tcMar>
          </w:tcPr>
          <w:p>
            <w:r>
              <w:rPr>
                <w:b/>
                <w:bCs/>
              </w:rPr>
              <w:t xml:space="preserve">Row cap</w:t>
            </w:r>
          </w:p>
        </w:tc>
        <w:tc>
          <w:tcPr>
            <w:tcW w:type="pct" w:w="3600"/>
            <w:tcMar>
              <w:top w:type="dxa" w:w="80"/>
              <w:left w:type="dxa" w:w="120"/>
              <w:bottom w:type="dxa" w:w="80"/>
              <w:right w:type="dxa" w:w="120"/>
            </w:tcMar>
          </w:tcPr>
          <w:p>
            <w:r>
              <w:t xml:space="preserve">MAX_ROWS = 500 per query result</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lib/warehouse/schema.ts (datasets registry, querySchema, formatValue/formatCompact, columnsForQuery)</w:t>
      </w:r>
    </w:p>
    <w:p>
      <w:pPr>
        <w:spacing w:after="80"/>
      </w:pPr>
      <w:r>
        <w:rPr>
          <w:rFonts w:ascii="Courier New" w:cs="Courier New" w:eastAsia="Courier New" w:hAnsi="Courier New"/>
          <w:color w:val="6B7280"/>
          <w:sz w:val="20"/>
          <w:szCs w:val="20"/>
        </w:rPr>
        <w:t xml:space="preserve">lib/warehouse/engine.ts (sanitizeQuery, runQuery, matches)</w:t>
      </w:r>
    </w:p>
    <w:p>
      <w:pPr>
        <w:spacing w:after="80"/>
      </w:pPr>
      <w:r>
        <w:rPr>
          <w:rFonts w:ascii="Courier New" w:cs="Courier New" w:eastAsia="Courier New" w:hAnsi="Courier New"/>
          <w:color w:val="6B7280"/>
          <w:sz w:val="20"/>
          <w:szCs w:val="20"/>
        </w:rPr>
        <w:t xml:space="preserve">lib/warehouse/data.ts (tables, distinctValues, TODAY, setWorkflowStatus)</w:t>
      </w:r>
    </w:p>
    <w:p>
      <w:pPr>
        <w:spacing w:after="80"/>
      </w:pPr>
      <w:r>
        <w:rPr>
          <w:rFonts w:ascii="Courier New" w:cs="Courier New" w:eastAsia="Courier New" w:hAnsi="Courier New"/>
          <w:color w:val="6B7280"/>
          <w:sz w:val="20"/>
          <w:szCs w:val="20"/>
        </w:rPr>
        <w:t xml:space="preserve">app/api/query/route.ts (thin HTTP wrapper over runQuery)</w:t>
      </w:r>
    </w:p>
    <w:p>
      <w:pPr>
        <w:pStyle w:val="Heading3"/>
        <w:spacing w:after="80" w:before="200"/>
      </w:pPr>
      <w:r>
        <w:t xml:space="preserve">API surface</w:t>
      </w:r>
    </w:p>
    <w:p>
      <w:pPr>
        <w:pStyle w:val="ListParagraph"/>
        <w:numPr>
          <w:ilvl w:val="0"/>
          <w:numId w:val="1"/>
        </w:numPr>
        <w:spacing w:after="60"/>
      </w:pPr>
      <w:r>
        <w:rPr>
          <w:b/>
          <w:bCs/>
        </w:rPr>
        <w:t xml:space="preserve">POST /api/query: </w:t>
      </w:r>
      <w:r>
        <w:t xml:space="preserve">Body: QuerySpec. Validates with querySchema (zod) and returns QueryResult.</w:t>
      </w:r>
    </w:p>
    <w:p>
      <w:pPr>
        <w:pStyle w:val="Heading3"/>
        <w:spacing w:after="80" w:before="200"/>
      </w:pPr>
      <w:r>
        <w:t xml:space="preserve">Implementation notes</w:t>
      </w:r>
    </w:p>
    <w:p>
      <w:pPr>
        <w:pStyle w:val="ListParagraph"/>
        <w:numPr>
          <w:ilvl w:val="0"/>
          <w:numId w:val="1"/>
        </w:numPr>
        <w:spacing w:after="60"/>
      </w:pPr>
      <w:r>
        <w:t xml:space="preserve">This is the single most reused module in the codebase: NLQ, Report Builder table/chart blocks, and dashboard widgets all compile down to a QuerySpec against this engine, so a fix or new dataset here benefits every feature at once.</w:t>
      </w:r>
    </w:p>
    <w:p>
      <w:r>
        <w:br w:type="page"/>
      </w:r>
    </w:p>
    <w:p>
      <w:pPr>
        <w:pStyle w:val="Heading1"/>
        <w:spacing w:after="160" w:before="400"/>
      </w:pPr>
      <w:r>
        <w:t xml:space="preserve">9. Workflow Approvals</w:t>
      </w:r>
    </w:p>
    <w:p>
      <w:pPr>
        <w:spacing w:after="120"/>
      </w:pPr>
      <w:r>
        <w:rPr>
          <w:i/>
          <w:iCs/>
          <w:color w:val="6B7280"/>
        </w:rPr>
        <w:t xml:space="preserve">Approve/reject actions on pending workflow items (bill payments, wires, journal entries, capital calls) surfaced via the workflow dataset.</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Let an approver act on a pending item directly from wherever it is displayed (e.g. a workflow widget) without leaving the dashboard.</w:t>
      </w:r>
    </w:p>
    <w:p>
      <w:pPr>
        <w:pStyle w:val="Heading3"/>
        <w:spacing w:after="80" w:before="200"/>
      </w:pPr>
      <w:r>
        <w:t xml:space="preserve">Primary users</w:t>
      </w:r>
    </w:p>
    <w:p>
      <w:pPr>
        <w:pStyle w:val="ListParagraph"/>
        <w:numPr>
          <w:ilvl w:val="0"/>
          <w:numId w:val="1"/>
        </w:numPr>
        <w:spacing w:after="60"/>
      </w:pPr>
      <w:r>
        <w:t xml:space="preserve">Approvers acting on pending items shown in a workflow widget or report</w:t>
      </w:r>
    </w:p>
    <w:p>
      <w:pPr>
        <w:pStyle w:val="Heading3"/>
        <w:spacing w:after="80" w:before="200"/>
      </w:pPr>
      <w:r>
        <w:t xml:space="preserve">User flow</w:t>
      </w:r>
    </w:p>
    <w:p>
      <w:pPr>
        <w:pStyle w:val="ListParagraph"/>
        <w:numPr>
          <w:ilvl w:val="0"/>
          <w:numId w:val="1"/>
        </w:numPr>
        <w:spacing w:after="60"/>
      </w:pPr>
      <w:r>
        <w:t xml:space="preserve">1. User views a list of Pending Approval items (status filter on the workflow dataset).</w:t>
      </w:r>
    </w:p>
    <w:p>
      <w:pPr>
        <w:pStyle w:val="ListParagraph"/>
        <w:numPr>
          <w:ilvl w:val="0"/>
          <w:numId w:val="1"/>
        </w:numPr>
        <w:spacing w:after="60"/>
      </w:pPr>
      <w:r>
        <w:t xml:space="preserve">2. User clicks Approve or Reject on an item.</w:t>
      </w:r>
    </w:p>
    <w:p>
      <w:pPr>
        <w:pStyle w:val="ListParagraph"/>
        <w:numPr>
          <w:ilvl w:val="0"/>
          <w:numId w:val="1"/>
        </w:numPr>
        <w:spacing w:after="60"/>
      </w:pPr>
      <w:r>
        <w:t xml:space="preserve">3. Client POSTs { itemId, status } to /api/workflow; the item’s status is updated in the underlying data.</w:t>
      </w:r>
    </w:p>
    <w:p>
      <w:pPr>
        <w:pStyle w:val="Heading3"/>
        <w:spacing w:after="80" w:before="200"/>
      </w:pPr>
      <w:r>
        <w:t xml:space="preserve">Functional requirements</w:t>
      </w:r>
    </w:p>
    <w:p>
      <w:pPr>
        <w:pStyle w:val="ListParagraph"/>
        <w:numPr>
          <w:ilvl w:val="0"/>
          <w:numId w:val="1"/>
        </w:numPr>
        <w:spacing w:after="60"/>
      </w:pPr>
      <w:r>
        <w:t xml:space="preserve">Only "Approved" or "Rejected" are valid target statuses (zod enum).</w:t>
      </w:r>
    </w:p>
    <w:p>
      <w:pPr>
        <w:pStyle w:val="ListParagraph"/>
        <w:numPr>
          <w:ilvl w:val="0"/>
          <w:numId w:val="1"/>
        </w:numPr>
        <w:spacing w:after="60"/>
      </w:pPr>
      <w:r>
        <w:t xml:space="preserve">itemId is bounded (1-32 chars) and validated before lookup.</w:t>
      </w:r>
    </w:p>
    <w:p>
      <w:pPr>
        <w:pStyle w:val="ListParagraph"/>
        <w:numPr>
          <w:ilvl w:val="0"/>
          <w:numId w:val="1"/>
        </w:numPr>
        <w:spacing w:after="60"/>
      </w:pPr>
      <w:r>
        <w:t xml:space="preserve">Unknown itemId returns 404; invalid payload returns 400.</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Route</w:t>
            </w:r>
          </w:p>
        </w:tc>
        <w:tc>
          <w:tcPr>
            <w:tcW w:type="pct" w:w="3600"/>
            <w:tcMar>
              <w:top w:type="dxa" w:w="80"/>
              <w:left w:type="dxa" w:w="120"/>
              <w:bottom w:type="dxa" w:w="80"/>
              <w:right w:type="dxa" w:w="120"/>
            </w:tcMar>
          </w:tcPr>
          <w:p>
            <w:r>
              <w:t xml:space="preserve">POST /api/workflow (app/api/workflow/route.ts)</w:t>
            </w:r>
          </w:p>
        </w:tc>
      </w:tr>
      <w:tr>
        <w:tc>
          <w:tcPr>
            <w:tcW w:type="pct" w:w="1400"/>
            <w:tcMar>
              <w:top w:type="dxa" w:w="80"/>
              <w:left w:type="dxa" w:w="120"/>
              <w:bottom w:type="dxa" w:w="80"/>
              <w:right w:type="dxa" w:w="120"/>
            </w:tcMar>
          </w:tcPr>
          <w:p>
            <w:r>
              <w:rPr>
                <w:b/>
                <w:bCs/>
              </w:rPr>
              <w:t xml:space="preserve">Mutation target</w:t>
            </w:r>
          </w:p>
        </w:tc>
        <w:tc>
          <w:tcPr>
            <w:tcW w:type="pct" w:w="3600"/>
            <w:tcMar>
              <w:top w:type="dxa" w:w="80"/>
              <w:left w:type="dxa" w:w="120"/>
              <w:bottom w:type="dxa" w:w="80"/>
              <w:right w:type="dxa" w:w="120"/>
            </w:tcMar>
          </w:tcPr>
          <w:p>
            <w:r>
              <w:t xml:space="preserve">lib/warehouse/data.ts: setWorkflowStatus()</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app/api/workflow/route.ts</w:t>
      </w:r>
    </w:p>
    <w:p>
      <w:pPr>
        <w:spacing w:after="80"/>
      </w:pPr>
      <w:r>
        <w:rPr>
          <w:rFonts w:ascii="Courier New" w:cs="Courier New" w:eastAsia="Courier New" w:hAnsi="Courier New"/>
          <w:color w:val="6B7280"/>
          <w:sz w:val="20"/>
          <w:szCs w:val="20"/>
        </w:rPr>
        <w:t xml:space="preserve">lib/warehouse/data.ts</w:t>
      </w:r>
    </w:p>
    <w:p>
      <w:pPr>
        <w:spacing w:after="80"/>
      </w:pPr>
      <w:r>
        <w:rPr>
          <w:rFonts w:ascii="Courier New" w:cs="Courier New" w:eastAsia="Courier New" w:hAnsi="Courier New"/>
          <w:color w:val="6B7280"/>
          <w:sz w:val="20"/>
          <w:szCs w:val="20"/>
        </w:rPr>
        <w:t xml:space="preserve">lib/warehouse/schema.ts (workflow dataset fields)</w:t>
      </w:r>
    </w:p>
    <w:p>
      <w:pPr>
        <w:pStyle w:val="Heading3"/>
        <w:spacing w:after="80" w:before="200"/>
      </w:pPr>
      <w:r>
        <w:t xml:space="preserve">API surface</w:t>
      </w:r>
    </w:p>
    <w:p>
      <w:pPr>
        <w:pStyle w:val="ListParagraph"/>
        <w:numPr>
          <w:ilvl w:val="0"/>
          <w:numId w:val="1"/>
        </w:numPr>
        <w:spacing w:after="60"/>
      </w:pPr>
      <w:r>
        <w:rPr>
          <w:b/>
          <w:bCs/>
        </w:rPr>
        <w:t xml:space="preserve">POST /api/workflow: </w:t>
      </w:r>
      <w:r>
        <w:t xml:space="preserve">Body: { itemId: string, status: "Approved" | "Rejected" }. Returns the updated row or { error }.</w:t>
      </w:r>
    </w:p>
    <w:p>
      <w:pPr>
        <w:pStyle w:val="Heading3"/>
        <w:spacing w:after="80" w:before="200"/>
      </w:pPr>
      <w:r>
        <w:t xml:space="preserve">Implementation notes</w:t>
      </w:r>
    </w:p>
    <w:p>
      <w:pPr>
        <w:pStyle w:val="ListParagraph"/>
        <w:numPr>
          <w:ilvl w:val="0"/>
          <w:numId w:val="1"/>
        </w:numPr>
        <w:spacing w:after="60"/>
      </w:pPr>
      <w:r>
        <w:t xml:space="preserve">The mutation is applied in-memory to the same seeded dataset the warehouse query engine reads from, so approving an item is immediately reflected in any widget/report querying the workflow dataset.</w:t>
      </w:r>
    </w:p>
    <w:p>
      <w:r>
        <w:br w:type="page"/>
      </w:r>
    </w:p>
    <w:p>
      <w:pPr>
        <w:pStyle w:val="Heading1"/>
        <w:spacing w:after="160" w:before="400"/>
      </w:pPr>
      <w:r>
        <w:t xml:space="preserve">10. Saved Reports &amp; Drafts Persistence</w:t>
      </w:r>
    </w:p>
    <w:p>
      <w:pPr>
        <w:spacing w:after="120"/>
      </w:pPr>
      <w:r>
        <w:rPr>
          <w:i/>
          <w:iCs/>
          <w:color w:val="6B7280"/>
        </w:rPr>
        <w:t xml:space="preserve">The server-memory storage layer behind "save a report" and (formerly) behind the widget-to-builder handoff.</w:t>
      </w:r>
    </w:p>
    <w:p>
      <w:pPr>
        <w:pStyle w:val="Heading2"/>
        <w:spacing w:after="120" w:before="280"/>
      </w:pPr>
      <w:r>
        <w:rPr>
          <w:b/>
          <w:bCs/>
          <w:color w:val="1E3A5F"/>
        </w:rPr>
        <w:t xml:space="preserve">Functional Specification</w:t>
      </w:r>
    </w:p>
    <w:p>
      <w:pPr>
        <w:pStyle w:val="Heading3"/>
        <w:spacing w:after="80" w:before="200"/>
      </w:pPr>
      <w:r>
        <w:t xml:space="preserve">Purpose</w:t>
      </w:r>
    </w:p>
    <w:p>
      <w:pPr>
        <w:spacing w:after="120"/>
      </w:pPr>
      <w:r>
        <w:t xml:space="preserve">Persist user-authored CanvasDocs across page navigations within a running server instance, and document the fragility that persistence model introduces.</w:t>
      </w:r>
    </w:p>
    <w:p>
      <w:pPr>
        <w:pStyle w:val="Heading3"/>
        <w:spacing w:after="80" w:before="200"/>
      </w:pPr>
      <w:r>
        <w:t xml:space="preserve">Primary users</w:t>
      </w:r>
    </w:p>
    <w:p>
      <w:pPr>
        <w:pStyle w:val="ListParagraph"/>
        <w:numPr>
          <w:ilvl w:val="0"/>
          <w:numId w:val="1"/>
        </w:numPr>
        <w:spacing w:after="60"/>
      </w:pPr>
      <w:r>
        <w:t xml:space="preserve">Internal: consumed by the Report Builder (save/load) and previously by the widget hand-off flow</w:t>
      </w:r>
    </w:p>
    <w:p>
      <w:pPr>
        <w:pStyle w:val="Heading3"/>
        <w:spacing w:after="80" w:before="200"/>
      </w:pPr>
      <w:r>
        <w:t xml:space="preserve">User flow</w:t>
      </w:r>
    </w:p>
    <w:p>
      <w:pPr>
        <w:pStyle w:val="ListParagraph"/>
        <w:numPr>
          <w:ilvl w:val="0"/>
          <w:numId w:val="1"/>
        </w:numPr>
        <w:spacing w:after="60"/>
      </w:pPr>
      <w:r>
        <w:t xml:space="preserve">1. Builder calls POST /api/saved with a full CanvasDoc; it is validated (docSchema) and upserted keyed by its id.</w:t>
      </w:r>
    </w:p>
    <w:p>
      <w:pPr>
        <w:pStyle w:val="ListParagraph"/>
        <w:numPr>
          <w:ilvl w:val="0"/>
          <w:numId w:val="1"/>
        </w:numPr>
        <w:spacing w:after="60"/>
      </w:pPr>
      <w:r>
        <w:t xml:space="preserve">2. Report Runner and Builder both call GET /api/saved?id= to reload a saved doc by id.</w:t>
      </w:r>
    </w:p>
    <w:p>
      <w:pPr>
        <w:pStyle w:val="ListParagraph"/>
        <w:numPr>
          <w:ilvl w:val="0"/>
          <w:numId w:val="1"/>
        </w:numPr>
        <w:spacing w:after="60"/>
      </w:pPr>
      <w:r>
        <w:t xml:space="preserve">3. Builder/library can call DELETE /api/saved?id= to remove a doc.</w:t>
      </w:r>
    </w:p>
    <w:p>
      <w:pPr>
        <w:pStyle w:val="Heading3"/>
        <w:spacing w:after="80" w:before="200"/>
      </w:pPr>
      <w:r>
        <w:t xml:space="preserve">Functional requirements</w:t>
      </w:r>
    </w:p>
    <w:p>
      <w:pPr>
        <w:pStyle w:val="ListParagraph"/>
        <w:numPr>
          <w:ilvl w:val="0"/>
          <w:numId w:val="1"/>
        </w:numPr>
        <w:spacing w:after="60"/>
      </w:pPr>
      <w:r>
        <w:t xml:space="preserve">docSchema caps blocks at 50 and bounds id/title/description length to prevent unbounded payloads.</w:t>
      </w:r>
    </w:p>
    <w:p>
      <w:pPr>
        <w:pStyle w:val="ListParagraph"/>
        <w:numPr>
          <w:ilvl w:val="0"/>
          <w:numId w:val="1"/>
        </w:numPr>
        <w:spacing w:after="60"/>
      </w:pPr>
      <w:r>
        <w:t xml:space="preserve">source must be one of nlq | library | blank | dashboard, recording where the document originated.</w:t>
      </w:r>
    </w:p>
    <w:p>
      <w:pPr>
        <w:pStyle w:val="Heading2"/>
        <w:spacing w:after="120" w:before="280"/>
      </w:pPr>
      <w:r>
        <w:rPr>
          <w:b/>
          <w:bCs/>
          <w:color w:val="1E3A5F"/>
        </w:rPr>
        <w:t xml:space="preserve">Technical Specification</w:t>
      </w:r>
    </w:p>
    <w:tbl>
      <w:tblPr>
        <w:tblW w:type="pct" w:w="5000"/>
        <w:tblBorders>
          <w:top w:val="single" w:color="D1D5DB" w:sz="2"/>
          <w:left w:val="single" w:color="D1D5DB" w:sz="2"/>
          <w:bottom w:val="single" w:color="D1D5DB" w:sz="2"/>
          <w:right w:val="single" w:color="D1D5DB" w:sz="2"/>
          <w:insideH w:val="single" w:color="E5E7EB" w:sz="2"/>
          <w:insideV w:val="single" w:color="E5E7EB" w:sz="2"/>
        </w:tblBorders>
      </w:tblPr>
      <w:tblGrid>
        <w:gridCol w:w="2527"/>
        <w:gridCol w:w="6499"/>
      </w:tblGrid>
      <w:tr>
        <w:tc>
          <w:tcPr>
            <w:tcW w:type="pct" w:w="1400"/>
            <w:tcMar>
              <w:top w:type="dxa" w:w="80"/>
              <w:left w:type="dxa" w:w="120"/>
              <w:bottom w:type="dxa" w:w="80"/>
              <w:right w:type="dxa" w:w="120"/>
            </w:tcMar>
          </w:tcPr>
          <w:p>
            <w:r>
              <w:rPr>
                <w:b/>
                <w:bCs/>
              </w:rPr>
              <w:t xml:space="preserve">Module</w:t>
            </w:r>
          </w:p>
        </w:tc>
        <w:tc>
          <w:tcPr>
            <w:tcW w:type="pct" w:w="3600"/>
            <w:tcMar>
              <w:top w:type="dxa" w:w="80"/>
              <w:left w:type="dxa" w:w="120"/>
              <w:bottom w:type="dxa" w:w="80"/>
              <w:right w:type="dxa" w:w="120"/>
            </w:tcMar>
          </w:tcPr>
          <w:p>
            <w:r>
              <w:t xml:space="preserve">lib/saved-store.ts</w:t>
            </w:r>
          </w:p>
        </w:tc>
      </w:tr>
      <w:tr>
        <w:tc>
          <w:tcPr>
            <w:tcW w:type="pct" w:w="1400"/>
            <w:tcMar>
              <w:top w:type="dxa" w:w="80"/>
              <w:left w:type="dxa" w:w="120"/>
              <w:bottom w:type="dxa" w:w="80"/>
              <w:right w:type="dxa" w:w="120"/>
            </w:tcMar>
          </w:tcPr>
          <w:p>
            <w:r>
              <w:rPr>
                <w:b/>
                <w:bCs/>
              </w:rPr>
              <w:t xml:space="preserve">Storage</w:t>
            </w:r>
          </w:p>
        </w:tc>
        <w:tc>
          <w:tcPr>
            <w:tcW w:type="pct" w:w="3600"/>
            <w:tcMar>
              <w:top w:type="dxa" w:w="80"/>
              <w:left w:type="dxa" w:w="120"/>
              <w:bottom w:type="dxa" w:w="80"/>
              <w:right w:type="dxa" w:w="120"/>
            </w:tcMar>
          </w:tcPr>
          <w:p>
            <w:r>
              <w:t xml:space="preserve">Map on globalThis (survives hot-reload in dev, not a server restart or multi-instance deploy)</w:t>
            </w:r>
          </w:p>
        </w:tc>
      </w:tr>
    </w:tbl>
    <w:p>
      <w:pPr>
        <w:spacing w:after="120"/>
      </w:pPr>
    </w:p>
    <w:p>
      <w:pPr>
        <w:pStyle w:val="Heading3"/>
        <w:spacing w:after="80" w:before="200"/>
      </w:pPr>
      <w:r>
        <w:t xml:space="preserve">Key files</w:t>
      </w:r>
    </w:p>
    <w:p>
      <w:pPr>
        <w:spacing w:after="80"/>
      </w:pPr>
      <w:r>
        <w:rPr>
          <w:rFonts w:ascii="Courier New" w:cs="Courier New" w:eastAsia="Courier New" w:hAnsi="Courier New"/>
          <w:color w:val="6B7280"/>
          <w:sz w:val="20"/>
          <w:szCs w:val="20"/>
        </w:rPr>
        <w:t xml:space="preserve">lib/saved-store.ts</w:t>
      </w:r>
    </w:p>
    <w:p>
      <w:pPr>
        <w:spacing w:after="80"/>
      </w:pPr>
      <w:r>
        <w:rPr>
          <w:rFonts w:ascii="Courier New" w:cs="Courier New" w:eastAsia="Courier New" w:hAnsi="Courier New"/>
          <w:color w:val="6B7280"/>
          <w:sz w:val="20"/>
          <w:szCs w:val="20"/>
        </w:rPr>
        <w:t xml:space="preserve">lib/doc-schema.ts</w:t>
      </w:r>
    </w:p>
    <w:p>
      <w:pPr>
        <w:spacing w:after="80"/>
      </w:pPr>
      <w:r>
        <w:rPr>
          <w:rFonts w:ascii="Courier New" w:cs="Courier New" w:eastAsia="Courier New" w:hAnsi="Courier New"/>
          <w:color w:val="6B7280"/>
          <w:sz w:val="20"/>
          <w:szCs w:val="20"/>
        </w:rPr>
        <w:t xml:space="preserve">app/api/saved/route.ts</w:t>
      </w:r>
    </w:p>
    <w:p>
      <w:pPr>
        <w:pStyle w:val="Heading3"/>
        <w:spacing w:after="80" w:before="200"/>
      </w:pPr>
      <w:r>
        <w:t xml:space="preserve">API surface</w:t>
      </w:r>
    </w:p>
    <w:p>
      <w:pPr>
        <w:pStyle w:val="ListParagraph"/>
        <w:numPr>
          <w:ilvl w:val="0"/>
          <w:numId w:val="1"/>
        </w:numPr>
        <w:spacing w:after="60"/>
      </w:pPr>
      <w:r>
        <w:rPr>
          <w:b/>
          <w:bCs/>
        </w:rPr>
        <w:t xml:space="preserve">GET /api/saved?id=: </w:t>
      </w:r>
      <w:r>
        <w:t xml:space="preserve">Returns one doc or the full list.</w:t>
      </w:r>
    </w:p>
    <w:p>
      <w:pPr>
        <w:pStyle w:val="ListParagraph"/>
        <w:numPr>
          <w:ilvl w:val="0"/>
          <w:numId w:val="1"/>
        </w:numPr>
        <w:spacing w:after="60"/>
      </w:pPr>
      <w:r>
        <w:rPr>
          <w:b/>
          <w:bCs/>
        </w:rPr>
        <w:t xml:space="preserve">POST /api/saved: </w:t>
      </w:r>
      <w:r>
        <w:t xml:space="preserve">Validates and upserts a CanvasDoc.</w:t>
      </w:r>
    </w:p>
    <w:p>
      <w:pPr>
        <w:pStyle w:val="ListParagraph"/>
        <w:numPr>
          <w:ilvl w:val="0"/>
          <w:numId w:val="1"/>
        </w:numPr>
        <w:spacing w:after="60"/>
      </w:pPr>
      <w:r>
        <w:rPr>
          <w:b/>
          <w:bCs/>
        </w:rPr>
        <w:t xml:space="preserve">DELETE /api/saved?id=: </w:t>
      </w:r>
      <w:r>
        <w:t xml:space="preserve">Removes a doc.</w:t>
      </w:r>
    </w:p>
    <w:p>
      <w:pPr>
        <w:pStyle w:val="Heading3"/>
        <w:spacing w:after="80" w:before="200"/>
      </w:pPr>
      <w:r>
        <w:t xml:space="preserve">Implementation notes</w:t>
      </w:r>
    </w:p>
    <w:p>
      <w:pPr>
        <w:pStyle w:val="ListParagraph"/>
        <w:numPr>
          <w:ilvl w:val="0"/>
          <w:numId w:val="1"/>
        </w:numPr>
        <w:spacing w:after="60"/>
      </w:pPr>
      <w:r>
        <w:t xml:space="preserve">This same in-memory pattern previously backed a short-lived "drafts" endpoint (app/api/drafts/route.ts) used only to hand a dashboard widget off to the builder. Because the map reset on every server restart, the generated link could 404 unpredictably. That handoff was redesigned (see "Dashboard Widgets" and "Report Builder" sections) to rebuild the document from ?widget={id} on every load instead of depending on a previously-created draft — removing the dependency on this fragile store for that one flow. The saved-report store itself still has the same limitation and should move to durable storage (e.g. Neon) before production use.</w:t>
      </w:r>
    </w:p>
    <w:p>
      <w:r>
        <w:br w:type="page"/>
      </w:r>
    </w:p>
    <w:sectPr>
      <w:pgSz w:w="11906" w:h="16838" w:orient="portrait"/>
      <w:pgMar w:top="1296" w:right="1440" w:bottom="1296"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pPr>
    <w:rPr>
      <w:b/>
      <w:bCs/>
      <w:color w:val="1E3A5F"/>
      <w:sz w:val="32"/>
      <w:szCs w:val="32"/>
    </w:rPr>
  </w:style>
  <w:style w:type="paragraph" w:styleId="Heading2">
    <w:name w:val="Heading 2"/>
    <w:basedOn w:val="Normal"/>
    <w:next w:val="Normal"/>
    <w:qFormat/>
    <w:rPr>
      <w:b/>
      <w:bCs/>
      <w:color w:val="1E3A5F"/>
      <w:sz w:val="26"/>
      <w:szCs w:val="26"/>
    </w:rPr>
  </w:style>
  <w:style w:type="paragraph" w:styleId="Heading3">
    <w:name w:val="Heading 3"/>
    <w:basedOn w:val="Normal"/>
    <w:next w:val="Normal"/>
    <w:qFormat/>
    <w:rPr>
      <w:b/>
      <w:bCs/>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2026-10-01T19:51:36.831Z</dcterms:created>
  <dcterms:modified xsi:type="dcterms:W3CDTF">2026-10-01T19:51:36.833Z</dcterms:modified>
</cp:coreProperties>
</file>

<file path=docProps/custom.xml><?xml version="1.0" encoding="utf-8"?>
<Properties xmlns="http://schemas.openxmlformats.org/officeDocument/2006/custom-properties" xmlns:vt="http://schemas.openxmlformats.org/officeDocument/2006/docPropsVTypes"/>
</file>